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360" w:lineRule="auto"/>
        <w:jc w:val="center"/>
        <w:rPr>
          <w:rFonts w:ascii="Times New Roman" w:hAnsi="Times New Roman"/>
        </w:rPr>
      </w:pPr>
      <w:r>
        <w:drawing>
          <wp:inline distT="0" distB="0" distL="0" distR="0">
            <wp:extent cx="5828665" cy="8175625"/>
            <wp:effectExtent l="0" t="0" r="635" b="0"/>
            <wp:docPr id="3710563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56342" name="图片 1"/>
                    <pic:cNvPicPr>
                      <a:picLocks noChangeAspect="1"/>
                    </pic:cNvPicPr>
                  </pic:nvPicPr>
                  <pic:blipFill>
                    <a:blip r:embed="rId6"/>
                    <a:stretch>
                      <a:fillRect/>
                    </a:stretch>
                  </pic:blipFill>
                  <pic:spPr>
                    <a:xfrm>
                      <a:off x="0" y="0"/>
                      <a:ext cx="5842467" cy="8194771"/>
                    </a:xfrm>
                    <a:prstGeom prst="rect">
                      <a:avLst/>
                    </a:prstGeom>
                  </pic:spPr>
                </pic:pic>
              </a:graphicData>
            </a:graphic>
          </wp:inline>
        </w:drawing>
      </w:r>
      <w:r>
        <w:rPr>
          <w:rFonts w:ascii="Times New Roman" w:hAnsi="Times New Roman"/>
        </w:rPr>
        <w:t xml:space="preserve"> </w:t>
      </w:r>
    </w:p>
    <w:p>
      <w:pPr>
        <w:pStyle w:val="5"/>
        <w:widowControl/>
        <w:spacing w:beforeAutospacing="0" w:afterAutospacing="0" w:line="360" w:lineRule="auto"/>
        <w:rPr>
          <w:rFonts w:ascii="Times New Roman" w:hAnsi="Times New Roman"/>
        </w:rPr>
      </w:pPr>
    </w:p>
    <w:p>
      <w:pPr>
        <w:pStyle w:val="5"/>
        <w:widowControl/>
        <w:spacing w:beforeAutospacing="0" w:afterAutospacing="0" w:line="360" w:lineRule="auto"/>
        <w:jc w:val="center"/>
        <w:rPr>
          <w:rFonts w:ascii="黑体" w:hAnsi="黑体" w:eastAsia="黑体" w:cs="黑体"/>
          <w:b/>
          <w:color w:val="000000"/>
          <w:sz w:val="32"/>
          <w:szCs w:val="32"/>
          <w:lang w:bidi="ar"/>
        </w:rPr>
      </w:pPr>
      <w:r>
        <w:rPr>
          <w:rFonts w:ascii="Times New Roman" w:hAnsi="Times New Roman"/>
        </w:rPr>
        <w:t xml:space="preserve">      </w:t>
      </w:r>
      <w:r>
        <w:rPr>
          <w:rFonts w:hint="eastAsia" w:ascii="黑体" w:hAnsi="黑体" w:eastAsia="黑体" w:cs="黑体"/>
          <w:b/>
          <w:color w:val="000000"/>
          <w:sz w:val="32"/>
          <w:szCs w:val="32"/>
          <w:lang w:bidi="ar"/>
        </w:rPr>
        <w:t>目 录</w:t>
      </w:r>
    </w:p>
    <w:p>
      <w:pPr>
        <w:pStyle w:val="5"/>
        <w:widowControl/>
        <w:spacing w:beforeAutospacing="0" w:afterAutospacing="0"/>
        <w:rPr>
          <w:rFonts w:ascii="楷体" w:hAnsi="楷体" w:eastAsia="楷体" w:cs="楷体"/>
          <w:bCs/>
          <w:color w:val="000000"/>
          <w:sz w:val="32"/>
          <w:szCs w:val="32"/>
          <w:lang w:bidi="ar"/>
        </w:rPr>
      </w:pPr>
      <w:r>
        <w:rPr>
          <w:rFonts w:hint="eastAsia" w:ascii="楷体" w:hAnsi="楷体" w:eastAsia="楷体" w:cs="楷体"/>
          <w:sz w:val="32"/>
          <w:szCs w:val="32"/>
        </w:rPr>
        <w:t xml:space="preserve">一、总体概况 </w:t>
      </w:r>
      <w:r>
        <w:rPr>
          <w:rFonts w:hint="eastAsia" w:ascii="楷体" w:hAnsi="楷体" w:eastAsia="楷体" w:cs="楷体"/>
          <w:b/>
          <w:color w:val="000000"/>
          <w:sz w:val="32"/>
          <w:szCs w:val="32"/>
          <w:lang w:bidi="ar"/>
        </w:rPr>
        <w:t>………………………………………………………</w:t>
      </w:r>
      <w:r>
        <w:rPr>
          <w:rFonts w:hint="eastAsia" w:ascii="楷体" w:hAnsi="楷体" w:eastAsia="楷体" w:cs="楷体"/>
          <w:bCs/>
          <w:color w:val="000000"/>
          <w:sz w:val="32"/>
          <w:szCs w:val="32"/>
          <w:lang w:bidi="ar"/>
        </w:rPr>
        <w:t xml:space="preserve"> </w:t>
      </w:r>
      <w:r>
        <w:rPr>
          <w:rFonts w:ascii="楷体" w:hAnsi="楷体" w:eastAsia="楷体" w:cs="楷体"/>
          <w:bCs/>
          <w:color w:val="000000"/>
          <w:sz w:val="32"/>
          <w:szCs w:val="32"/>
          <w:lang w:bidi="ar"/>
        </w:rPr>
        <w:t>1</w:t>
      </w:r>
    </w:p>
    <w:p>
      <w:pPr>
        <w:rPr>
          <w:rFonts w:ascii="楷体" w:hAnsi="楷体" w:eastAsia="楷体" w:cs="楷体"/>
          <w:bCs/>
          <w:color w:val="000000"/>
          <w:kern w:val="0"/>
          <w:sz w:val="32"/>
          <w:szCs w:val="32"/>
          <w:lang w:bidi="ar"/>
        </w:rPr>
      </w:pPr>
      <w:r>
        <w:rPr>
          <w:rFonts w:hint="eastAsia" w:ascii="楷体" w:hAnsi="楷体" w:eastAsia="楷体" w:cs="楷体"/>
          <w:bCs/>
          <w:color w:val="000000"/>
          <w:sz w:val="32"/>
          <w:szCs w:val="32"/>
        </w:rPr>
        <w:t xml:space="preserve">（一）学位点基本情况  </w:t>
      </w:r>
      <w:r>
        <w:rPr>
          <w:rFonts w:hint="eastAsia" w:ascii="楷体" w:hAnsi="楷体" w:eastAsia="楷体" w:cs="楷体"/>
          <w:bCs/>
          <w:color w:val="000000"/>
          <w:kern w:val="0"/>
          <w:sz w:val="32"/>
          <w:szCs w:val="32"/>
          <w:lang w:bidi="ar"/>
        </w:rPr>
        <w:t>……………………………………………</w:t>
      </w:r>
      <w:r>
        <w:rPr>
          <w:rFonts w:ascii="楷体" w:hAnsi="楷体" w:eastAsia="楷体" w:cs="楷体"/>
          <w:bCs/>
          <w:color w:val="000000"/>
          <w:kern w:val="0"/>
          <w:sz w:val="32"/>
          <w:szCs w:val="32"/>
          <w:lang w:bidi="ar"/>
        </w:rPr>
        <w:t>1</w:t>
      </w:r>
    </w:p>
    <w:p>
      <w:pPr>
        <w:rPr>
          <w:rFonts w:ascii="楷体" w:hAnsi="楷体" w:eastAsia="楷体" w:cs="楷体"/>
          <w:bCs/>
          <w:color w:val="000000"/>
          <w:kern w:val="0"/>
          <w:sz w:val="32"/>
          <w:szCs w:val="32"/>
          <w:lang w:bidi="ar"/>
        </w:rPr>
      </w:pPr>
      <w:r>
        <w:rPr>
          <w:rFonts w:hint="eastAsia" w:ascii="楷体" w:hAnsi="楷体" w:eastAsia="楷体" w:cs="楷体"/>
          <w:bCs/>
          <w:sz w:val="32"/>
          <w:szCs w:val="32"/>
        </w:rPr>
        <w:t xml:space="preserve">（二）学科建设情况  </w:t>
      </w:r>
      <w:r>
        <w:rPr>
          <w:rFonts w:hint="eastAsia" w:ascii="楷体" w:hAnsi="楷体" w:eastAsia="楷体" w:cs="楷体"/>
          <w:bCs/>
          <w:color w:val="000000"/>
          <w:kern w:val="0"/>
          <w:sz w:val="32"/>
          <w:szCs w:val="32"/>
          <w:lang w:bidi="ar"/>
        </w:rPr>
        <w:t xml:space="preserve">…………………………………………… </w:t>
      </w:r>
      <w:r>
        <w:rPr>
          <w:rFonts w:ascii="楷体" w:hAnsi="楷体" w:eastAsia="楷体" w:cs="楷体"/>
          <w:bCs/>
          <w:color w:val="000000"/>
          <w:kern w:val="0"/>
          <w:sz w:val="32"/>
          <w:szCs w:val="32"/>
          <w:lang w:bidi="ar"/>
        </w:rPr>
        <w:t>2</w:t>
      </w:r>
    </w:p>
    <w:p>
      <w:pPr>
        <w:rPr>
          <w:rFonts w:ascii="楷体" w:hAnsi="楷体" w:eastAsia="楷体" w:cs="楷体"/>
          <w:bCs/>
          <w:color w:val="000000"/>
          <w:kern w:val="0"/>
          <w:sz w:val="32"/>
          <w:szCs w:val="32"/>
          <w:lang w:bidi="ar"/>
        </w:rPr>
      </w:pPr>
      <w:r>
        <w:rPr>
          <w:rFonts w:hint="eastAsia" w:ascii="楷体" w:hAnsi="楷体" w:eastAsia="楷体" w:cs="楷体"/>
          <w:bCs/>
          <w:color w:val="000000"/>
          <w:kern w:val="0"/>
          <w:sz w:val="32"/>
          <w:szCs w:val="32"/>
          <w:lang w:bidi="ar"/>
        </w:rPr>
        <w:t>（三）研究招生、在读、毕业、学位授予及就业基本状况…… 3</w:t>
      </w:r>
    </w:p>
    <w:p>
      <w:pPr>
        <w:jc w:val="left"/>
        <w:rPr>
          <w:rFonts w:ascii="楷体" w:hAnsi="楷体" w:eastAsia="楷体" w:cs="楷体"/>
          <w:bCs/>
          <w:color w:val="000000"/>
          <w:kern w:val="0"/>
          <w:sz w:val="32"/>
          <w:szCs w:val="32"/>
          <w:lang w:bidi="ar"/>
        </w:rPr>
      </w:pPr>
      <w:r>
        <w:rPr>
          <w:rFonts w:hint="eastAsia" w:ascii="楷体" w:hAnsi="楷体" w:eastAsia="楷体" w:cs="楷体"/>
          <w:bCs/>
          <w:kern w:val="0"/>
          <w:sz w:val="32"/>
          <w:szCs w:val="32"/>
        </w:rPr>
        <w:t>（四）</w:t>
      </w:r>
      <w:r>
        <w:rPr>
          <w:rFonts w:hint="eastAsia" w:ascii="楷体" w:hAnsi="楷体" w:eastAsia="楷体" w:cs="楷体"/>
          <w:bCs/>
          <w:color w:val="000000"/>
          <w:kern w:val="0"/>
          <w:sz w:val="32"/>
          <w:szCs w:val="32"/>
          <w:lang w:bidi="ar"/>
        </w:rPr>
        <w:t>研究生导师状况 ……………………………………………</w:t>
      </w:r>
      <w:r>
        <w:rPr>
          <w:rFonts w:ascii="楷体" w:hAnsi="楷体" w:eastAsia="楷体" w:cs="楷体"/>
          <w:bCs/>
          <w:color w:val="000000"/>
          <w:kern w:val="0"/>
          <w:sz w:val="32"/>
          <w:szCs w:val="32"/>
          <w:lang w:bidi="ar"/>
        </w:rPr>
        <w:t>5</w:t>
      </w:r>
    </w:p>
    <w:p>
      <w:pPr>
        <w:jc w:val="left"/>
        <w:rPr>
          <w:rFonts w:ascii="楷体" w:hAnsi="楷体" w:eastAsia="楷体" w:cs="楷体"/>
          <w:bCs/>
          <w:color w:val="000000"/>
          <w:kern w:val="0"/>
          <w:sz w:val="32"/>
          <w:szCs w:val="32"/>
          <w:lang w:bidi="ar"/>
        </w:rPr>
      </w:pPr>
      <w:r>
        <w:rPr>
          <w:rFonts w:hint="eastAsia" w:ascii="楷体" w:hAnsi="楷体" w:eastAsia="楷体" w:cs="楷体"/>
          <w:bCs/>
          <w:sz w:val="32"/>
          <w:szCs w:val="32"/>
        </w:rPr>
        <w:t xml:space="preserve">二、学位点党建与思想政治教育工作 </w:t>
      </w:r>
      <w:r>
        <w:rPr>
          <w:rFonts w:hint="eastAsia" w:ascii="楷体" w:hAnsi="楷体" w:eastAsia="楷体" w:cs="楷体"/>
          <w:bCs/>
          <w:color w:val="000000"/>
          <w:kern w:val="0"/>
          <w:sz w:val="32"/>
          <w:szCs w:val="32"/>
          <w:lang w:bidi="ar"/>
        </w:rPr>
        <w:t>……………………………7</w:t>
      </w:r>
    </w:p>
    <w:p>
      <w:pPr>
        <w:pStyle w:val="9"/>
        <w:ind w:firstLine="0" w:firstLineChars="0"/>
        <w:rPr>
          <w:rFonts w:ascii="楷体" w:hAnsi="楷体" w:eastAsia="楷体" w:cs="楷体"/>
          <w:bCs/>
          <w:color w:val="000000"/>
          <w:kern w:val="0"/>
          <w:sz w:val="32"/>
          <w:szCs w:val="32"/>
          <w:lang w:bidi="ar"/>
        </w:rPr>
      </w:pPr>
      <w:r>
        <w:rPr>
          <w:rFonts w:hint="eastAsia" w:ascii="楷体" w:hAnsi="楷体" w:eastAsia="楷体" w:cs="楷体"/>
          <w:bCs/>
          <w:color w:val="000000"/>
          <w:sz w:val="32"/>
          <w:szCs w:val="32"/>
        </w:rPr>
        <w:t>（一）</w:t>
      </w:r>
      <w:r>
        <w:rPr>
          <w:rFonts w:hint="eastAsia" w:ascii="楷体" w:hAnsi="楷体" w:eastAsia="楷体" w:cs="楷体"/>
          <w:bCs/>
          <w:color w:val="000000"/>
          <w:kern w:val="0"/>
          <w:sz w:val="32"/>
          <w:szCs w:val="32"/>
          <w:lang w:bidi="ar"/>
        </w:rPr>
        <w:t xml:space="preserve">党的建设工作情况……………………………………… </w:t>
      </w:r>
      <w:r>
        <w:rPr>
          <w:rFonts w:ascii="楷体" w:hAnsi="楷体" w:eastAsia="楷体" w:cs="楷体"/>
          <w:bCs/>
          <w:color w:val="000000"/>
          <w:kern w:val="0"/>
          <w:sz w:val="32"/>
          <w:szCs w:val="32"/>
          <w:lang w:bidi="ar"/>
        </w:rPr>
        <w:t xml:space="preserve"> </w:t>
      </w:r>
      <w:r>
        <w:rPr>
          <w:rFonts w:hint="eastAsia" w:ascii="楷体" w:hAnsi="楷体" w:eastAsia="楷体" w:cs="楷体"/>
          <w:bCs/>
          <w:color w:val="000000"/>
          <w:kern w:val="0"/>
          <w:sz w:val="32"/>
          <w:szCs w:val="32"/>
          <w:lang w:bidi="ar"/>
        </w:rPr>
        <w:t xml:space="preserve"> 7</w:t>
      </w:r>
    </w:p>
    <w:p>
      <w:pPr>
        <w:pStyle w:val="5"/>
        <w:widowControl/>
        <w:spacing w:beforeAutospacing="0" w:afterAutospacing="0"/>
        <w:rPr>
          <w:rFonts w:ascii="楷体" w:hAnsi="楷体" w:eastAsia="楷体" w:cs="楷体"/>
          <w:bCs/>
          <w:color w:val="000000"/>
          <w:sz w:val="32"/>
          <w:szCs w:val="32"/>
          <w:lang w:bidi="ar"/>
        </w:rPr>
      </w:pPr>
      <w:r>
        <w:rPr>
          <w:rFonts w:hint="eastAsia" w:ascii="楷体" w:hAnsi="楷体" w:eastAsia="楷体" w:cs="楷体"/>
          <w:bCs/>
          <w:color w:val="000000"/>
          <w:sz w:val="32"/>
          <w:szCs w:val="32"/>
          <w:lang w:bidi="ar"/>
        </w:rPr>
        <w:t>（二）思想政治教育队伍建设情况 ………………………………8</w:t>
      </w:r>
    </w:p>
    <w:p>
      <w:pPr>
        <w:pStyle w:val="5"/>
        <w:widowControl/>
        <w:spacing w:beforeAutospacing="0" w:afterAutospacing="0"/>
        <w:rPr>
          <w:rFonts w:ascii="楷体" w:hAnsi="楷体" w:eastAsia="楷体" w:cs="楷体"/>
          <w:bCs/>
          <w:color w:val="000000"/>
          <w:sz w:val="32"/>
          <w:szCs w:val="32"/>
          <w:lang w:bidi="ar"/>
        </w:rPr>
      </w:pPr>
      <w:r>
        <w:rPr>
          <w:rFonts w:hint="eastAsia" w:ascii="楷体" w:hAnsi="楷体" w:eastAsia="楷体" w:cs="楷体"/>
          <w:bCs/>
          <w:color w:val="000000"/>
          <w:sz w:val="32"/>
          <w:szCs w:val="32"/>
        </w:rPr>
        <w:t xml:space="preserve">（三）理想信念和社会主义主义核心价值观教育情况 </w:t>
      </w:r>
      <w:r>
        <w:rPr>
          <w:rFonts w:hint="eastAsia" w:ascii="楷体" w:hAnsi="楷体" w:eastAsia="楷体" w:cs="楷体"/>
          <w:bCs/>
          <w:color w:val="000000"/>
          <w:sz w:val="32"/>
          <w:szCs w:val="32"/>
          <w:lang w:bidi="ar"/>
        </w:rPr>
        <w:t>…………9</w:t>
      </w:r>
    </w:p>
    <w:p>
      <w:pPr>
        <w:rPr>
          <w:rFonts w:ascii="楷体" w:hAnsi="楷体" w:eastAsia="楷体" w:cs="楷体"/>
          <w:bCs/>
          <w:color w:val="000000"/>
          <w:kern w:val="0"/>
          <w:sz w:val="32"/>
          <w:szCs w:val="32"/>
          <w:lang w:bidi="ar"/>
        </w:rPr>
      </w:pPr>
      <w:r>
        <w:rPr>
          <w:rFonts w:hint="eastAsia" w:ascii="楷体" w:hAnsi="楷体" w:eastAsia="楷体" w:cs="楷体"/>
          <w:bCs/>
          <w:color w:val="000000"/>
          <w:sz w:val="32"/>
          <w:szCs w:val="32"/>
        </w:rPr>
        <w:t>（四）加强文化建设情况</w:t>
      </w:r>
      <w:r>
        <w:rPr>
          <w:rFonts w:hint="eastAsia" w:ascii="楷体" w:hAnsi="楷体" w:eastAsia="楷体" w:cs="楷体"/>
          <w:color w:val="000000"/>
          <w:sz w:val="32"/>
          <w:szCs w:val="32"/>
        </w:rPr>
        <w:t>…………………………</w:t>
      </w:r>
      <w:r>
        <w:rPr>
          <w:rFonts w:hint="eastAsia" w:ascii="楷体" w:hAnsi="楷体" w:eastAsia="楷体" w:cs="楷体"/>
          <w:bCs/>
          <w:color w:val="000000"/>
          <w:kern w:val="0"/>
          <w:sz w:val="32"/>
          <w:szCs w:val="32"/>
          <w:lang w:bidi="ar"/>
        </w:rPr>
        <w:t>……………… 11</w:t>
      </w:r>
    </w:p>
    <w:p>
      <w:pPr>
        <w:rPr>
          <w:rFonts w:ascii="楷体" w:hAnsi="楷体" w:eastAsia="楷体" w:cs="楷体"/>
          <w:color w:val="000000"/>
          <w:sz w:val="32"/>
          <w:szCs w:val="32"/>
        </w:rPr>
      </w:pPr>
      <w:r>
        <w:rPr>
          <w:rFonts w:hint="eastAsia" w:ascii="楷体" w:hAnsi="楷体" w:eastAsia="楷体" w:cs="楷体"/>
          <w:color w:val="000000"/>
          <w:sz w:val="32"/>
          <w:szCs w:val="32"/>
        </w:rPr>
        <w:t>三、研究生培养相关制度及执行情况 …………………………  12</w:t>
      </w:r>
    </w:p>
    <w:p>
      <w:pPr>
        <w:rPr>
          <w:rFonts w:ascii="楷体" w:hAnsi="楷体" w:eastAsia="楷体" w:cs="楷体"/>
          <w:color w:val="000000"/>
          <w:sz w:val="32"/>
          <w:szCs w:val="32"/>
        </w:rPr>
      </w:pPr>
      <w:r>
        <w:rPr>
          <w:rFonts w:hint="eastAsia" w:ascii="楷体" w:hAnsi="楷体" w:eastAsia="楷体" w:cs="楷体"/>
          <w:color w:val="000000"/>
          <w:sz w:val="32"/>
          <w:szCs w:val="32"/>
        </w:rPr>
        <w:t xml:space="preserve">（一）课程建设与实施情况 ……………………………………  13 </w:t>
      </w:r>
    </w:p>
    <w:p>
      <w:pPr>
        <w:rPr>
          <w:rFonts w:ascii="楷体" w:hAnsi="楷体" w:eastAsia="楷体" w:cs="楷体"/>
          <w:color w:val="000000"/>
          <w:sz w:val="32"/>
          <w:szCs w:val="32"/>
        </w:rPr>
      </w:pPr>
      <w:r>
        <w:rPr>
          <w:rFonts w:hint="eastAsia" w:ascii="楷体" w:hAnsi="楷体" w:eastAsia="楷体" w:cs="楷体"/>
          <w:color w:val="000000"/>
          <w:sz w:val="32"/>
          <w:szCs w:val="32"/>
        </w:rPr>
        <w:t>（二）导师选拔培训情况………………………………………… 15</w:t>
      </w:r>
    </w:p>
    <w:p>
      <w:pPr>
        <w:rPr>
          <w:rFonts w:ascii="楷体" w:hAnsi="楷体" w:eastAsia="楷体" w:cs="楷体"/>
          <w:color w:val="000000"/>
          <w:sz w:val="32"/>
          <w:szCs w:val="32"/>
        </w:rPr>
      </w:pPr>
      <w:r>
        <w:rPr>
          <w:rFonts w:hint="eastAsia" w:ascii="楷体" w:hAnsi="楷体" w:eastAsia="楷体" w:cs="楷体"/>
          <w:color w:val="000000"/>
          <w:sz w:val="32"/>
          <w:szCs w:val="32"/>
        </w:rPr>
        <w:t>（三）师德师风建设情况… ……………………………………  16</w:t>
      </w:r>
    </w:p>
    <w:p>
      <w:pPr>
        <w:rPr>
          <w:rFonts w:ascii="楷体" w:hAnsi="楷体" w:eastAsia="楷体" w:cs="楷体"/>
          <w:color w:val="000000"/>
          <w:sz w:val="32"/>
          <w:szCs w:val="32"/>
        </w:rPr>
      </w:pPr>
      <w:r>
        <w:rPr>
          <w:rFonts w:hint="eastAsia" w:ascii="楷体" w:hAnsi="楷体" w:eastAsia="楷体" w:cs="楷体"/>
          <w:color w:val="000000"/>
          <w:sz w:val="32"/>
          <w:szCs w:val="32"/>
        </w:rPr>
        <w:t>（四）学术训练和学术交流情况………………………………… 19</w:t>
      </w:r>
    </w:p>
    <w:p>
      <w:pPr>
        <w:rPr>
          <w:rFonts w:ascii="楷体" w:hAnsi="楷体" w:eastAsia="楷体" w:cs="楷体"/>
          <w:color w:val="000000"/>
          <w:sz w:val="32"/>
          <w:szCs w:val="32"/>
        </w:rPr>
      </w:pPr>
      <w:r>
        <w:rPr>
          <w:rFonts w:hint="eastAsia" w:ascii="楷体" w:hAnsi="楷体" w:eastAsia="楷体" w:cs="楷体"/>
          <w:color w:val="000000"/>
          <w:sz w:val="32"/>
          <w:szCs w:val="32"/>
        </w:rPr>
        <w:t>（五）专业实践情况……………………………………………… 2</w:t>
      </w:r>
      <w:r>
        <w:rPr>
          <w:rFonts w:ascii="楷体" w:hAnsi="楷体" w:eastAsia="楷体" w:cs="楷体"/>
          <w:color w:val="000000"/>
          <w:sz w:val="32"/>
          <w:szCs w:val="32"/>
        </w:rPr>
        <w:t>2</w:t>
      </w:r>
    </w:p>
    <w:p>
      <w:pPr>
        <w:rPr>
          <w:rFonts w:ascii="楷体" w:hAnsi="楷体" w:eastAsia="楷体" w:cs="楷体"/>
          <w:color w:val="000000"/>
          <w:sz w:val="32"/>
          <w:szCs w:val="32"/>
        </w:rPr>
      </w:pPr>
      <w:r>
        <w:rPr>
          <w:rFonts w:hint="eastAsia" w:ascii="楷体" w:hAnsi="楷体" w:eastAsia="楷体" w:cs="楷体"/>
          <w:color w:val="000000"/>
          <w:sz w:val="32"/>
          <w:szCs w:val="32"/>
        </w:rPr>
        <w:t>（六）研究生奖助情况…………………………………………… 2</w:t>
      </w:r>
      <w:r>
        <w:rPr>
          <w:rFonts w:ascii="楷体" w:hAnsi="楷体" w:eastAsia="楷体" w:cs="楷体"/>
          <w:color w:val="000000"/>
          <w:sz w:val="32"/>
          <w:szCs w:val="32"/>
        </w:rPr>
        <w:t>2</w:t>
      </w:r>
    </w:p>
    <w:p>
      <w:pPr>
        <w:numPr>
          <w:ilvl w:val="0"/>
          <w:numId w:val="1"/>
        </w:numPr>
        <w:rPr>
          <w:rFonts w:ascii="楷体" w:hAnsi="楷体" w:eastAsia="楷体" w:cs="楷体"/>
          <w:color w:val="000000"/>
          <w:sz w:val="32"/>
          <w:szCs w:val="32"/>
        </w:rPr>
      </w:pPr>
      <w:r>
        <w:rPr>
          <w:rFonts w:hint="eastAsia" w:ascii="楷体" w:hAnsi="楷体" w:eastAsia="楷体" w:cs="楷体"/>
          <w:color w:val="000000"/>
          <w:sz w:val="32"/>
          <w:szCs w:val="32"/>
        </w:rPr>
        <w:t>研究生教育改革情况  ………………………………………2</w:t>
      </w:r>
      <w:r>
        <w:rPr>
          <w:rFonts w:ascii="楷体" w:hAnsi="楷体" w:eastAsia="楷体" w:cs="楷体"/>
          <w:color w:val="000000"/>
          <w:sz w:val="32"/>
          <w:szCs w:val="32"/>
        </w:rPr>
        <w:t>4</w:t>
      </w:r>
    </w:p>
    <w:p>
      <w:pPr>
        <w:numPr>
          <w:ilvl w:val="0"/>
          <w:numId w:val="1"/>
        </w:numPr>
        <w:rPr>
          <w:rFonts w:ascii="楷体" w:hAnsi="楷体" w:eastAsia="楷体" w:cs="楷体"/>
          <w:color w:val="000000"/>
          <w:sz w:val="32"/>
          <w:szCs w:val="32"/>
        </w:rPr>
      </w:pPr>
      <w:r>
        <w:rPr>
          <w:rFonts w:hint="eastAsia" w:ascii="楷体" w:hAnsi="楷体" w:eastAsia="楷体" w:cs="楷体"/>
          <w:color w:val="000000"/>
          <w:sz w:val="32"/>
          <w:szCs w:val="32"/>
        </w:rPr>
        <w:t>教育质量评估与分析…………………………………………</w:t>
      </w:r>
      <w:r>
        <w:rPr>
          <w:rFonts w:ascii="楷体" w:hAnsi="楷体" w:eastAsia="楷体" w:cs="楷体"/>
          <w:color w:val="000000"/>
          <w:sz w:val="32"/>
          <w:szCs w:val="32"/>
        </w:rPr>
        <w:t>29</w:t>
      </w:r>
    </w:p>
    <w:p>
      <w:pPr>
        <w:rPr>
          <w:rFonts w:ascii="楷体" w:hAnsi="楷体" w:eastAsia="楷体" w:cs="楷体"/>
          <w:color w:val="000000"/>
          <w:sz w:val="32"/>
          <w:szCs w:val="32"/>
        </w:rPr>
      </w:pPr>
      <w:r>
        <w:rPr>
          <w:rFonts w:hint="eastAsia" w:ascii="楷体" w:hAnsi="楷体" w:eastAsia="楷体" w:cs="楷体"/>
          <w:color w:val="000000"/>
          <w:sz w:val="32"/>
          <w:szCs w:val="32"/>
        </w:rPr>
        <w:t>六、改进措施………………………………………………………3</w:t>
      </w:r>
      <w:r>
        <w:rPr>
          <w:rFonts w:ascii="楷体" w:hAnsi="楷体" w:eastAsia="楷体" w:cs="楷体"/>
          <w:color w:val="000000"/>
          <w:sz w:val="32"/>
          <w:szCs w:val="32"/>
        </w:rPr>
        <w:t>0</w:t>
      </w:r>
    </w:p>
    <w:p>
      <w:pPr>
        <w:pStyle w:val="5"/>
        <w:widowControl/>
        <w:spacing w:beforeAutospacing="0" w:afterAutospacing="0" w:line="360" w:lineRule="auto"/>
        <w:rPr>
          <w:rFonts w:ascii="黑体" w:hAnsi="黑体" w:eastAsia="黑体" w:cs="黑体"/>
          <w:b/>
          <w:bCs/>
          <w:sz w:val="32"/>
          <w:szCs w:val="32"/>
        </w:rPr>
      </w:pPr>
    </w:p>
    <w:p>
      <w:pPr>
        <w:pStyle w:val="5"/>
        <w:widowControl/>
        <w:spacing w:beforeAutospacing="0" w:afterAutospacing="0" w:line="560" w:lineRule="atLeast"/>
        <w:rPr>
          <w:rFonts w:ascii="黑体" w:hAnsi="黑体" w:eastAsia="黑体" w:cs="黑体"/>
          <w:b/>
          <w:bCs/>
          <w:sz w:val="32"/>
          <w:szCs w:val="32"/>
        </w:rPr>
        <w:sectPr>
          <w:footerReference r:id="rId3" w:type="default"/>
          <w:pgSz w:w="11906" w:h="16838"/>
          <w:pgMar w:top="1440" w:right="1361" w:bottom="1247" w:left="1531" w:header="851" w:footer="992" w:gutter="0"/>
          <w:cols w:space="425" w:num="1"/>
          <w:docGrid w:type="lines" w:linePitch="312" w:charSpace="0"/>
        </w:sectPr>
      </w:pPr>
    </w:p>
    <w:p>
      <w:pPr>
        <w:pStyle w:val="5"/>
        <w:widowControl/>
        <w:spacing w:beforeAutospacing="0" w:afterAutospacing="0" w:line="560" w:lineRule="atLeast"/>
        <w:rPr>
          <w:color w:val="FF0000"/>
        </w:rPr>
      </w:pPr>
      <w:r>
        <w:rPr>
          <w:rFonts w:hint="eastAsia" w:ascii="黑体" w:hAnsi="黑体" w:eastAsia="黑体" w:cs="黑体"/>
          <w:b/>
          <w:bCs/>
          <w:sz w:val="32"/>
          <w:szCs w:val="32"/>
        </w:rPr>
        <w:t>一、总体概况</w:t>
      </w:r>
    </w:p>
    <w:p>
      <w:pPr>
        <w:spacing w:line="560" w:lineRule="atLeas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（一）学位点基本情况</w:t>
      </w:r>
    </w:p>
    <w:p>
      <w:pPr>
        <w:spacing w:line="560" w:lineRule="atLeas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本学位点在传承广东药科大学“以药为主，药医结合，药工融合，多学科协调发展 ”办学理念的基础上，紧随国内外护理学科和医学、药学等的发展趋势，依托学校各重点学科、重点实验室及附属医院的办学优势，与学校药学、中药学、临床医学、预防医学等重点学科紧密结合和交叉，积极开展药物护理、临床护理、社区护理等领域的研究，着力发展医、护、药相结合，重点体现药物护理的新兴学科。逐渐形成了“以服务为宗旨、以就业为导向、以技能为核心、以素质教育为基础、以学生为本位”的学科发展理念，培养实用型、技能型和创新型高层次护理人才，促进广东省护理学科的快速发展。</w:t>
      </w:r>
    </w:p>
    <w:p>
      <w:pPr>
        <w:spacing w:line="560" w:lineRule="atLeas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2014年获得护理专业硕士学位授权点，2015年开始招收首届研究生，迄今共招收210名，2018年通过教育部护理硕士专业学位授权点专项评估。</w:t>
      </w:r>
      <w:r>
        <w:rPr>
          <w:rFonts w:hint="eastAsia" w:ascii="仿宋" w:hAnsi="仿宋" w:eastAsia="仿宋" w:cs="仿宋"/>
          <w:color w:val="000000"/>
          <w:sz w:val="32"/>
          <w:szCs w:val="32"/>
        </w:rPr>
        <w:t>现有导师29人（校内导师17人，校外导师12人），校外具有独立招生资格导师均为临床资深的护理专家，合作导师43人；学位点</w:t>
      </w:r>
      <w:r>
        <w:rPr>
          <w:rFonts w:hint="eastAsia" w:ascii="仿宋" w:hAnsi="仿宋" w:eastAsia="仿宋" w:cs="仿宋"/>
          <w:bCs/>
          <w:kern w:val="0"/>
          <w:sz w:val="32"/>
          <w:szCs w:val="32"/>
        </w:rPr>
        <w:t>以人类健康和护理事业发展需求为导向，结合导师队伍研究方向设置了慢性病护理、母婴护理、重症监护等专业学位培养方向。依托附属第一医院国家一期临床药物试验研究中心、广东省智慧护理工程中心，以及广东省人民医院、广东省妇幼保健院、中国人民解放军南部战区总医院、广州市妇女儿童医疗中心等多家省内三甲医院以及多家社区卫生服务中心等实践教学基地的支持，为学生培养搭建了良好的科研和实践平台。</w:t>
      </w:r>
    </w:p>
    <w:p>
      <w:pPr>
        <w:spacing w:line="56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（二）学科建设情况</w:t>
      </w:r>
    </w:p>
    <w:p>
      <w:pPr>
        <w:pStyle w:val="12"/>
        <w:shd w:val="clear" w:color="auto" w:fill="FFFFFF"/>
        <w:spacing w:before="0" w:beforeAutospacing="0" w:after="0" w:line="560" w:lineRule="atLeast"/>
        <w:ind w:firstLine="640" w:firstLineChars="200"/>
        <w:rPr>
          <w:rFonts w:ascii="仿宋" w:hAnsi="仿宋" w:eastAsia="仿宋" w:cs="仿宋"/>
          <w:color w:val="FF0000"/>
          <w:sz w:val="32"/>
          <w:szCs w:val="32"/>
        </w:rPr>
      </w:pPr>
      <w:r>
        <w:rPr>
          <w:rFonts w:hint="eastAsia" w:ascii="仿宋" w:hAnsi="仿宋" w:eastAsia="仿宋" w:cs="仿宋"/>
          <w:color w:val="000000"/>
          <w:sz w:val="32"/>
          <w:szCs w:val="32"/>
          <w:lang w:bidi="ar"/>
        </w:rPr>
        <w:t>学位点扎根广东，立足湾区，面向全国，落实《“健康中国2030”规划纲要》和《粤港澳大湾区发展规划纲要》，更好地应对我国人口老龄化进展、疾病谱变化、新的人口政策、健康需求的不断升级，以满足日益增多的慢性病病人、母婴群体及危重症病人的护理需求，重点培养慢性病护理、母婴护理、重症监护方向的应用型、专科型护理创新人才。</w:t>
      </w:r>
      <w:r>
        <w:rPr>
          <w:rFonts w:hint="eastAsia" w:ascii="仿宋" w:hAnsi="仿宋" w:eastAsia="仿宋" w:cs="仿宋"/>
          <w:color w:val="000000"/>
          <w:sz w:val="32"/>
          <w:szCs w:val="32"/>
        </w:rPr>
        <w:t>2023年学位点</w:t>
      </w:r>
      <w:r>
        <w:rPr>
          <w:rFonts w:hint="eastAsia" w:ascii="仿宋" w:hAnsi="仿宋" w:eastAsia="仿宋" w:cs="仿宋"/>
          <w:color w:val="auto"/>
          <w:sz w:val="32"/>
          <w:szCs w:val="32"/>
        </w:rPr>
        <w:t>蓝宇涛、蔡舒老师的“身体活动信念变量路径与运动干预临床效果的研究”获得2023年度广东省护理学会科技奖二等奖、第八届中华护理学会科技奖三等奖；《内科护理学》获国家级线下一流课程，《儿科护理学》获省级线上线下混合式一流课程，《以劳动为基，绽生命教育之彩-基础生命支持（心肺复苏术）》获首届高校劳动教育示范案例征集活动展播优秀案例，《儿童免疫规划》获2023 年度广东省高校课程思政优秀案例（展播课）</w:t>
      </w:r>
      <w:r>
        <w:rPr>
          <w:rFonts w:hint="eastAsia" w:ascii="仿宋" w:hAnsi="仿宋" w:eastAsia="仿宋" w:cs="仿宋"/>
          <w:color w:val="000000"/>
          <w:sz w:val="32"/>
          <w:szCs w:val="32"/>
        </w:rPr>
        <w:t>；</w:t>
      </w:r>
      <w:r>
        <w:rPr>
          <w:rFonts w:hint="eastAsia" w:ascii="仿宋" w:hAnsi="仿宋" w:eastAsia="仿宋" w:cs="仿宋"/>
          <w:color w:val="auto"/>
          <w:sz w:val="32"/>
          <w:szCs w:val="32"/>
        </w:rPr>
        <w:t>2023年学位点纵向科技项目获批立项</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项，签订横向课题</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教育部产学研项目2项</w:t>
      </w:r>
      <w:r>
        <w:rPr>
          <w:rFonts w:hint="eastAsia" w:ascii="仿宋" w:hAnsi="仿宋" w:eastAsia="仿宋" w:cs="仿宋"/>
          <w:color w:val="auto"/>
          <w:sz w:val="32"/>
          <w:szCs w:val="32"/>
        </w:rPr>
        <w:t>。一篇论文入选领跑者5000中国精品科技期刊顶尖学术论文。发表科研论文</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篇（其中SCI论文</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篇，</w:t>
      </w:r>
      <w:r>
        <w:rPr>
          <w:rFonts w:hint="eastAsia" w:ascii="仿宋" w:hAnsi="仿宋" w:eastAsia="仿宋" w:cs="仿宋"/>
          <w:bCs/>
          <w:kern w:val="0"/>
          <w:sz w:val="32"/>
          <w:szCs w:val="32"/>
        </w:rPr>
        <w:t>北大核心</w:t>
      </w:r>
      <w:r>
        <w:rPr>
          <w:rFonts w:hint="eastAsia" w:ascii="仿宋" w:hAnsi="仿宋" w:eastAsia="仿宋" w:cs="仿宋"/>
          <w:color w:val="auto"/>
          <w:sz w:val="32"/>
          <w:szCs w:val="32"/>
        </w:rPr>
        <w:t>论文</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篇），导师与研究生获授权专利</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项（其中发明专利1项、实用新型专利</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项，软件开发著作权1项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spacing w:line="560" w:lineRule="atLeast"/>
        <w:ind w:firstLine="320" w:firstLineChars="1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为构建更高效的医疗机构价格和医保管理体系，优化费用结构，减轻患者就医负担，体现医疗卫生护理服务价值，2019年，学位点依托广东省医药价格协会、联合省内30余家三级甲等医院牵头成立“护理服务价格专业委员会”；为了提高药物护理的水平、促进药物护理的专科化发展，2020年，学位点依托广东省药理学会，联合省内近百家医疗单位牵头成立了我国第一个药物护理专业委员会；专委会为护理专业硕士研究生提供了良好的护理实践创新研究学术平台。2021年，学位点依托广东省保健协会，通过联合综合性医院与社区卫生服务机构的居家护理服务单位，以及相关企业等成立了广东省保健协会居家护理分会。分会以提升居家护理人员的综合素质，拓展居家护理服务领域，建立和完善“以居家为基础”的长期护理服务体系，促进居家护理的发展为目的，在服务广大人民群众，维护和促进健康的同时，也为居家护理科研和教学工作、护理专业硕士研究生的培养提供了实践、创新、研究的学术平台。</w:t>
      </w:r>
    </w:p>
    <w:p>
      <w:pPr>
        <w:spacing w:line="560" w:lineRule="atLeast"/>
        <w:ind w:firstLine="321" w:firstLineChars="100"/>
        <w:rPr>
          <w:rFonts w:ascii="仿宋" w:hAnsi="仿宋" w:eastAsia="仿宋" w:cs="仿宋"/>
          <w:b/>
          <w:bCs/>
          <w:color w:val="000000"/>
          <w:kern w:val="0"/>
          <w:sz w:val="32"/>
          <w:szCs w:val="32"/>
          <w:lang w:bidi="ar"/>
        </w:rPr>
      </w:pPr>
      <w:r>
        <w:rPr>
          <w:rFonts w:hint="eastAsia" w:ascii="楷体" w:hAnsi="楷体" w:eastAsia="楷体" w:cs="楷体"/>
          <w:b/>
          <w:bCs/>
          <w:color w:val="000000"/>
          <w:kern w:val="0"/>
          <w:sz w:val="32"/>
          <w:szCs w:val="32"/>
          <w:lang w:bidi="ar"/>
        </w:rPr>
        <w:t>（三）研究招生、在读、毕业、学位授予及就业基本状况</w:t>
      </w:r>
    </w:p>
    <w:p>
      <w:pPr>
        <w:spacing w:line="560" w:lineRule="atLeast"/>
        <w:ind w:firstLine="640" w:firstLineChars="200"/>
        <w:rPr>
          <w:rFonts w:ascii="楷体" w:hAnsi="楷体" w:eastAsia="楷体" w:cs="楷体"/>
          <w:kern w:val="0"/>
          <w:sz w:val="32"/>
          <w:szCs w:val="32"/>
          <w:lang w:bidi="ar"/>
        </w:rPr>
      </w:pPr>
      <w:r>
        <w:rPr>
          <w:rFonts w:hint="eastAsia" w:ascii="仿宋" w:hAnsi="仿宋" w:eastAsia="仿宋" w:cs="仿宋"/>
          <w:kern w:val="0"/>
          <w:sz w:val="32"/>
          <w:szCs w:val="32"/>
        </w:rPr>
        <w:t>学位点自2014年获授权，2015年开始正式招收护理专业硕士研究生，到202</w:t>
      </w:r>
      <w:r>
        <w:rPr>
          <w:rFonts w:ascii="仿宋" w:hAnsi="仿宋" w:eastAsia="仿宋" w:cs="仿宋"/>
          <w:kern w:val="0"/>
          <w:sz w:val="32"/>
          <w:szCs w:val="32"/>
        </w:rPr>
        <w:t>3</w:t>
      </w:r>
      <w:r>
        <w:rPr>
          <w:rFonts w:hint="eastAsia" w:ascii="仿宋" w:hAnsi="仿宋" w:eastAsia="仿宋" w:cs="仿宋"/>
          <w:kern w:val="0"/>
          <w:sz w:val="32"/>
          <w:szCs w:val="32"/>
        </w:rPr>
        <w:t>年共招收了2</w:t>
      </w:r>
      <w:r>
        <w:rPr>
          <w:rFonts w:ascii="仿宋" w:hAnsi="仿宋" w:eastAsia="仿宋" w:cs="仿宋"/>
          <w:kern w:val="0"/>
          <w:sz w:val="32"/>
          <w:szCs w:val="32"/>
        </w:rPr>
        <w:t>55</w:t>
      </w:r>
      <w:r>
        <w:rPr>
          <w:rFonts w:hint="eastAsia" w:ascii="仿宋" w:hAnsi="仿宋" w:eastAsia="仿宋" w:cs="仿宋"/>
          <w:kern w:val="0"/>
          <w:sz w:val="32"/>
          <w:szCs w:val="32"/>
        </w:rPr>
        <w:t>人，已毕业的六届毕业生共</w:t>
      </w:r>
      <w:r>
        <w:rPr>
          <w:rFonts w:ascii="仿宋" w:hAnsi="仿宋" w:eastAsia="仿宋" w:cs="仿宋"/>
          <w:kern w:val="0"/>
          <w:sz w:val="32"/>
          <w:szCs w:val="32"/>
        </w:rPr>
        <w:t>110</w:t>
      </w:r>
      <w:r>
        <w:rPr>
          <w:rFonts w:hint="eastAsia" w:ascii="仿宋" w:hAnsi="仿宋" w:eastAsia="仿宋" w:cs="仿宋"/>
          <w:kern w:val="0"/>
          <w:sz w:val="32"/>
          <w:szCs w:val="32"/>
        </w:rPr>
        <w:t>人，</w:t>
      </w:r>
      <w:r>
        <w:rPr>
          <w:rFonts w:hint="eastAsia" w:ascii="仿宋" w:hAnsi="仿宋" w:eastAsia="仿宋" w:cs="仿宋"/>
          <w:bCs/>
          <w:kern w:val="0"/>
          <w:sz w:val="32"/>
          <w:szCs w:val="32"/>
        </w:rPr>
        <w:t>就业率和专业对口率100%，目前3人取得了专科护士资格、2人读博；</w:t>
      </w:r>
      <w:r>
        <w:rPr>
          <w:rFonts w:ascii="仿宋" w:hAnsi="仿宋" w:eastAsia="仿宋" w:cs="仿宋"/>
          <w:bCs/>
          <w:kern w:val="0"/>
          <w:sz w:val="32"/>
          <w:szCs w:val="32"/>
        </w:rPr>
        <w:t>9</w:t>
      </w:r>
      <w:r>
        <w:rPr>
          <w:rFonts w:hint="eastAsia" w:ascii="仿宋" w:hAnsi="仿宋" w:eastAsia="仿宋" w:cs="仿宋"/>
          <w:bCs/>
          <w:kern w:val="0"/>
          <w:sz w:val="32"/>
          <w:szCs w:val="32"/>
        </w:rPr>
        <w:t>8人在基层一线工作，5人已担任护士长。</w:t>
      </w:r>
      <w:r>
        <w:rPr>
          <w:rFonts w:hint="eastAsia" w:ascii="仿宋" w:hAnsi="仿宋" w:eastAsia="仿宋" w:cs="仿宋"/>
          <w:kern w:val="0"/>
          <w:sz w:val="32"/>
          <w:szCs w:val="32"/>
        </w:rPr>
        <w:t>202</w:t>
      </w:r>
      <w:r>
        <w:rPr>
          <w:rFonts w:ascii="仿宋" w:hAnsi="仿宋" w:eastAsia="仿宋" w:cs="仿宋"/>
          <w:kern w:val="0"/>
          <w:sz w:val="32"/>
          <w:szCs w:val="32"/>
        </w:rPr>
        <w:t>3</w:t>
      </w:r>
      <w:r>
        <w:rPr>
          <w:rFonts w:hint="eastAsia" w:ascii="仿宋" w:hAnsi="仿宋" w:eastAsia="仿宋" w:cs="仿宋"/>
          <w:kern w:val="0"/>
          <w:sz w:val="32"/>
          <w:szCs w:val="32"/>
        </w:rPr>
        <w:t>年招收5</w:t>
      </w:r>
      <w:r>
        <w:rPr>
          <w:rFonts w:ascii="仿宋" w:hAnsi="仿宋" w:eastAsia="仿宋" w:cs="仿宋"/>
          <w:kern w:val="0"/>
          <w:sz w:val="32"/>
          <w:szCs w:val="32"/>
        </w:rPr>
        <w:t>5</w:t>
      </w:r>
      <w:r>
        <w:rPr>
          <w:rFonts w:hint="eastAsia" w:ascii="仿宋" w:hAnsi="仿宋" w:eastAsia="仿宋" w:cs="仿宋"/>
          <w:kern w:val="0"/>
          <w:sz w:val="32"/>
          <w:szCs w:val="32"/>
        </w:rPr>
        <w:t>名专业硕士研究生（均为第一志愿录取），其中一名学生为港澳台籍（见图1）。</w:t>
      </w:r>
    </w:p>
    <w:p>
      <w:pPr>
        <w:pStyle w:val="5"/>
        <w:widowControl/>
        <w:spacing w:beforeAutospacing="0" w:afterAutospacing="0" w:line="560" w:lineRule="atLeast"/>
        <w:rPr>
          <w:rFonts w:ascii="仿宋" w:hAnsi="仿宋" w:eastAsia="仿宋" w:cs="仿宋"/>
          <w:color w:val="000000"/>
          <w:sz w:val="32"/>
          <w:szCs w:val="32"/>
        </w:rPr>
      </w:pPr>
      <w:r>
        <w:rPr>
          <w:rFonts w:hint="eastAsia" w:ascii="仿宋" w:hAnsi="仿宋" w:eastAsia="仿宋" w:cs="仿宋"/>
          <w:color w:val="000000"/>
          <w:sz w:val="32"/>
          <w:szCs w:val="32"/>
        </w:rPr>
        <w:t xml:space="preserve">     </w:t>
      </w:r>
      <w:r>
        <w:drawing>
          <wp:inline distT="0" distB="0" distL="0" distR="0">
            <wp:extent cx="4572000" cy="2743200"/>
            <wp:effectExtent l="0" t="0" r="0" b="0"/>
            <wp:docPr id="4147161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5"/>
        <w:widowControl/>
        <w:spacing w:beforeAutospacing="0" w:afterAutospacing="0" w:line="560" w:lineRule="atLeast"/>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图1 202</w:t>
      </w:r>
      <w:r>
        <w:rPr>
          <w:rFonts w:ascii="仿宋" w:hAnsi="仿宋" w:eastAsia="仿宋" w:cs="仿宋"/>
          <w:sz w:val="32"/>
          <w:szCs w:val="32"/>
        </w:rPr>
        <w:t>3</w:t>
      </w:r>
      <w:r>
        <w:rPr>
          <w:rFonts w:hint="eastAsia" w:ascii="仿宋" w:hAnsi="仿宋" w:eastAsia="仿宋" w:cs="仿宋"/>
          <w:sz w:val="32"/>
          <w:szCs w:val="32"/>
        </w:rPr>
        <w:t>年各专业方向招生情况图</w:t>
      </w:r>
    </w:p>
    <w:p>
      <w:pPr>
        <w:pStyle w:val="5"/>
        <w:widowControl/>
        <w:spacing w:beforeAutospacing="0" w:afterAutospacing="0" w:line="560" w:lineRule="atLeast"/>
        <w:ind w:firstLine="640" w:firstLineChars="200"/>
        <w:rPr>
          <w:rFonts w:ascii="仿宋" w:hAnsi="仿宋" w:eastAsia="仿宋" w:cs="仿宋"/>
          <w:bCs/>
          <w:sz w:val="32"/>
          <w:szCs w:val="32"/>
        </w:rPr>
      </w:pPr>
      <w:r>
        <w:rPr>
          <w:rFonts w:hint="eastAsia" w:ascii="仿宋" w:hAnsi="仿宋" w:eastAsia="仿宋" w:cs="仿宋"/>
          <w:sz w:val="32"/>
          <w:szCs w:val="32"/>
        </w:rPr>
        <w:t>2023年有毕业生30人，其中30人获得硕士学位，</w:t>
      </w:r>
      <w:r>
        <w:rPr>
          <w:rFonts w:hint="eastAsia" w:ascii="仿宋" w:hAnsi="仿宋" w:eastAsia="仿宋" w:cs="仿宋"/>
          <w:sz w:val="32"/>
          <w:szCs w:val="32"/>
          <w:lang w:val="en-US" w:eastAsia="zh-CN"/>
        </w:rPr>
        <w:t>29</w:t>
      </w:r>
      <w:r>
        <w:rPr>
          <w:rFonts w:hint="eastAsia" w:ascii="仿宋" w:hAnsi="仿宋" w:eastAsia="仿宋" w:cs="仿宋"/>
          <w:sz w:val="32"/>
          <w:szCs w:val="32"/>
        </w:rPr>
        <w:t>人就业，就业率达</w:t>
      </w:r>
      <w:r>
        <w:rPr>
          <w:rFonts w:hint="eastAsia" w:ascii="仿宋" w:hAnsi="仿宋" w:eastAsia="仿宋" w:cs="仿宋"/>
          <w:sz w:val="32"/>
          <w:szCs w:val="32"/>
          <w:lang w:val="en-US" w:eastAsia="zh-CN"/>
        </w:rPr>
        <w:t>97</w:t>
      </w:r>
      <w:r>
        <w:rPr>
          <w:rFonts w:hint="eastAsia" w:ascii="仿宋" w:hAnsi="仿宋" w:eastAsia="仿宋" w:cs="仿宋"/>
          <w:sz w:val="32"/>
          <w:szCs w:val="32"/>
        </w:rPr>
        <w:t>%</w:t>
      </w:r>
      <w:r>
        <w:rPr>
          <w:rFonts w:hint="eastAsia" w:ascii="仿宋" w:hAnsi="仿宋" w:eastAsia="仿宋" w:cs="仿宋"/>
          <w:bCs/>
          <w:sz w:val="32"/>
          <w:szCs w:val="32"/>
        </w:rPr>
        <w:t>（见表1）。</w:t>
      </w:r>
    </w:p>
    <w:p>
      <w:pPr>
        <w:spacing w:line="560" w:lineRule="atLeast"/>
        <w:jc w:val="center"/>
        <w:rPr>
          <w:rFonts w:ascii="仿宋" w:hAnsi="仿宋" w:eastAsia="仿宋" w:cs="仿宋"/>
          <w:b/>
          <w:bCs/>
          <w:sz w:val="32"/>
          <w:szCs w:val="32"/>
          <w:lang w:bidi="zh-CN"/>
        </w:rPr>
      </w:pPr>
      <w:r>
        <w:rPr>
          <w:rFonts w:hint="eastAsia" w:ascii="仿宋" w:hAnsi="仿宋" w:eastAsia="仿宋" w:cs="仿宋"/>
          <w:b/>
          <w:bCs/>
          <w:sz w:val="32"/>
          <w:szCs w:val="32"/>
          <w:lang w:bidi="zh-CN"/>
        </w:rPr>
        <w:t xml:space="preserve">表1 </w:t>
      </w:r>
      <w:r>
        <w:rPr>
          <w:rFonts w:ascii="仿宋" w:hAnsi="仿宋" w:eastAsia="仿宋" w:cs="仿宋"/>
          <w:b/>
          <w:bCs/>
          <w:sz w:val="32"/>
          <w:szCs w:val="32"/>
          <w:lang w:bidi="zh-CN"/>
        </w:rPr>
        <w:t xml:space="preserve"> </w:t>
      </w:r>
      <w:r>
        <w:rPr>
          <w:rFonts w:hint="eastAsia" w:ascii="仿宋" w:hAnsi="仿宋" w:eastAsia="仿宋" w:cs="仿宋"/>
          <w:b/>
          <w:bCs/>
          <w:sz w:val="32"/>
          <w:szCs w:val="32"/>
          <w:lang w:bidi="zh-CN"/>
        </w:rPr>
        <w:t>2023年毕业生就业情况表</w:t>
      </w:r>
    </w:p>
    <w:tbl>
      <w:tblPr>
        <w:tblStyle w:val="6"/>
        <w:tblW w:w="7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4"/>
        <w:gridCol w:w="525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94" w:type="dxa"/>
            <w:tcBorders>
              <w:top w:val="single" w:color="auto" w:sz="12" w:space="0"/>
              <w:left w:val="single" w:color="auto" w:sz="12" w:space="0"/>
              <w:bottom w:val="single" w:color="auto" w:sz="6" w:space="0"/>
              <w:right w:val="single" w:color="auto" w:sz="6" w:space="0"/>
            </w:tcBorders>
            <w:shd w:val="clear" w:color="auto" w:fill="DAE3F3"/>
            <w:vAlign w:val="center"/>
          </w:tcPr>
          <w:p>
            <w:pPr>
              <w:spacing w:line="560" w:lineRule="atLeast"/>
              <w:jc w:val="center"/>
              <w:rPr>
                <w:rFonts w:hint="eastAsia" w:ascii="仿宋" w:hAnsi="仿宋" w:eastAsia="仿宋" w:cs="仿宋"/>
                <w:b/>
                <w:bCs/>
                <w:sz w:val="28"/>
                <w:szCs w:val="28"/>
                <w:lang w:bidi="zh-CN"/>
              </w:rPr>
            </w:pPr>
            <w:r>
              <w:rPr>
                <w:rFonts w:hint="eastAsia" w:ascii="仿宋" w:hAnsi="仿宋" w:eastAsia="仿宋" w:cs="仿宋"/>
                <w:b/>
                <w:bCs/>
                <w:sz w:val="28"/>
                <w:szCs w:val="28"/>
                <w:lang w:bidi="zh-CN"/>
              </w:rPr>
              <w:t>序号</w:t>
            </w:r>
          </w:p>
        </w:tc>
        <w:tc>
          <w:tcPr>
            <w:tcW w:w="5256" w:type="dxa"/>
            <w:tcBorders>
              <w:top w:val="single" w:color="auto" w:sz="12" w:space="0"/>
              <w:left w:val="single" w:color="auto" w:sz="6" w:space="0"/>
              <w:bottom w:val="single" w:color="auto" w:sz="6" w:space="0"/>
              <w:right w:val="single" w:color="auto" w:sz="6" w:space="0"/>
            </w:tcBorders>
            <w:shd w:val="clear" w:color="auto" w:fill="DAE3F3"/>
            <w:vAlign w:val="center"/>
          </w:tcPr>
          <w:p>
            <w:pPr>
              <w:spacing w:line="560" w:lineRule="atLeast"/>
              <w:jc w:val="center"/>
              <w:rPr>
                <w:rFonts w:hint="eastAsia" w:ascii="仿宋" w:hAnsi="仿宋" w:eastAsia="仿宋" w:cs="仿宋"/>
                <w:b/>
                <w:bCs/>
                <w:sz w:val="28"/>
                <w:szCs w:val="28"/>
                <w:lang w:bidi="zh-CN"/>
              </w:rPr>
            </w:pPr>
            <w:r>
              <w:rPr>
                <w:rFonts w:hint="eastAsia" w:ascii="仿宋" w:hAnsi="仿宋" w:eastAsia="仿宋" w:cs="仿宋"/>
                <w:b/>
                <w:bCs/>
                <w:sz w:val="28"/>
                <w:szCs w:val="28"/>
                <w:lang w:bidi="zh-CN"/>
              </w:rPr>
              <w:t>就业单位</w:t>
            </w:r>
          </w:p>
        </w:tc>
        <w:tc>
          <w:tcPr>
            <w:tcW w:w="1188" w:type="dxa"/>
            <w:tcBorders>
              <w:top w:val="single" w:color="auto" w:sz="12" w:space="0"/>
              <w:left w:val="single" w:color="auto" w:sz="6" w:space="0"/>
              <w:bottom w:val="single" w:color="auto" w:sz="6" w:space="0"/>
              <w:right w:val="single" w:color="auto" w:sz="6" w:space="0"/>
            </w:tcBorders>
            <w:shd w:val="clear" w:color="auto" w:fill="DAE3F3"/>
            <w:vAlign w:val="center"/>
          </w:tcPr>
          <w:p>
            <w:pPr>
              <w:spacing w:line="560" w:lineRule="atLeast"/>
              <w:jc w:val="center"/>
              <w:rPr>
                <w:rFonts w:hint="eastAsia" w:ascii="仿宋" w:hAnsi="仿宋" w:eastAsia="仿宋" w:cs="仿宋"/>
                <w:b/>
                <w:bCs/>
                <w:sz w:val="28"/>
                <w:szCs w:val="28"/>
                <w:lang w:bidi="zh-CN"/>
              </w:rPr>
            </w:pPr>
            <w:r>
              <w:rPr>
                <w:rFonts w:hint="eastAsia" w:ascii="仿宋" w:hAnsi="仿宋" w:eastAsia="仿宋" w:cs="仿宋"/>
                <w:b/>
                <w:bCs/>
                <w:sz w:val="28"/>
                <w:szCs w:val="28"/>
                <w:lang w:bidi="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广州市第一人民医院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2</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广东省中医院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3</w:t>
            </w:r>
          </w:p>
        </w:tc>
        <w:tc>
          <w:tcPr>
            <w:tcW w:w="525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中山大学肿瘤防治中心(中山大学附属肿瘤医院、中山大学肿瘤研究所)</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4</w:t>
            </w:r>
          </w:p>
        </w:tc>
        <w:tc>
          <w:tcPr>
            <w:tcW w:w="525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深圳市人民医院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5</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广州医科大学附属口腔医院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7</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广州市番禺区中心医院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7</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szCs w:val="22"/>
                <w:lang w:bidi="ar"/>
              </w:rPr>
              <w:t>南方医科大学皮肤病医院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8</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广州市白云区钟落潭镇卫生院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9</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汕头市中心医院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10</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清远市人民医院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11</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中山市人民医院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12</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中山市博爱医院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13</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东莞市人民医院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14</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szCs w:val="22"/>
                <w:lang w:bidi="ar"/>
              </w:rPr>
              <w:t>东莞市中医院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15</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深圳市妇幼保健院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16</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深圳市龙岗区妇幼保健院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17</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深圳市中西医结合医院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18</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珠海市中西医结合医院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19</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云南省肿瘤医院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20</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广州市轻工技师学院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21</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中山大学</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22</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清远职业技术学院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23</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广东江门中医药职业学院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24</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四川中医药高等专科学校</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25</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szCs w:val="22"/>
                <w:lang w:bidi="ar"/>
              </w:rPr>
              <w:t>三峡旅游职业技术学院</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sz w:val="24"/>
                <w:lang w:bidi="zh-CN"/>
              </w:rPr>
            </w:pPr>
            <w:r>
              <w:rPr>
                <w:rFonts w:hint="eastAsia" w:ascii="仿宋" w:hAnsi="仿宋" w:eastAsia="仿宋" w:cs="仿宋"/>
                <w:sz w:val="24"/>
                <w:lang w:bidi="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794"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26</w:t>
            </w:r>
          </w:p>
        </w:tc>
        <w:tc>
          <w:tcPr>
            <w:tcW w:w="525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商丘医学高等专科学校</w:t>
            </w:r>
          </w:p>
        </w:tc>
        <w:tc>
          <w:tcPr>
            <w:tcW w:w="1188"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bidi="ar"/>
              </w:rPr>
              <w:t>1人</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val="en-US" w:eastAsia="zh-CN" w:bidi="ar"/>
              </w:rPr>
              <w:t>就业协议待签</w:t>
            </w:r>
            <w:r>
              <w:rPr>
                <w:rFonts w:hint="eastAsia" w:ascii="仿宋" w:hAnsi="仿宋" w:eastAsia="仿宋" w:cs="仿宋"/>
                <w:color w:val="000000"/>
                <w:kern w:val="0"/>
                <w:sz w:val="22"/>
                <w:szCs w:val="22"/>
                <w:lang w:eastAsia="zh-CN" w:bidi="ar"/>
              </w:rPr>
              <w:t>）</w:t>
            </w:r>
          </w:p>
        </w:tc>
      </w:tr>
    </w:tbl>
    <w:p>
      <w:pPr>
        <w:rPr>
          <w:rFonts w:eastAsia="等线"/>
        </w:rPr>
      </w:pPr>
    </w:p>
    <w:p>
      <w:pPr>
        <w:rPr>
          <w:rFonts w:eastAsia="等线"/>
        </w:rPr>
      </w:pPr>
    </w:p>
    <w:p>
      <w:pPr>
        <w:pStyle w:val="5"/>
        <w:widowControl/>
        <w:spacing w:beforeAutospacing="0" w:afterAutospacing="0" w:line="560" w:lineRule="atLeast"/>
        <w:rPr>
          <w:rFonts w:ascii="仿宋" w:hAnsi="仿宋" w:eastAsia="仿宋" w:cs="仿宋"/>
          <w:b/>
          <w:bCs/>
          <w:sz w:val="32"/>
          <w:szCs w:val="32"/>
        </w:rPr>
      </w:pPr>
      <w:r>
        <w:rPr>
          <w:rFonts w:hint="eastAsia" w:ascii="仿宋" w:hAnsi="仿宋" w:cs="仿宋"/>
          <w:color w:val="000000"/>
          <w:sz w:val="32"/>
          <w:szCs w:val="32"/>
        </w:rPr>
        <w:t xml:space="preserve">   </w:t>
      </w:r>
      <w:r>
        <w:rPr>
          <w:rFonts w:hint="eastAsia" w:ascii="楷体" w:hAnsi="楷体" w:eastAsia="楷体" w:cs="楷体"/>
          <w:b/>
          <w:bCs/>
          <w:sz w:val="32"/>
          <w:szCs w:val="32"/>
        </w:rPr>
        <w:t>（四）</w:t>
      </w:r>
      <w:r>
        <w:rPr>
          <w:rFonts w:hint="eastAsia" w:ascii="楷体" w:hAnsi="楷体" w:eastAsia="楷体" w:cs="楷体"/>
          <w:b/>
          <w:bCs/>
          <w:color w:val="000000"/>
          <w:sz w:val="32"/>
          <w:szCs w:val="32"/>
          <w:lang w:bidi="ar"/>
        </w:rPr>
        <w:t>研究生导师状况</w:t>
      </w:r>
    </w:p>
    <w:p>
      <w:pPr>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现有导师</w:t>
      </w:r>
      <w:r>
        <w:rPr>
          <w:rFonts w:ascii="仿宋" w:hAnsi="仿宋" w:eastAsia="仿宋" w:cs="仿宋"/>
          <w:sz w:val="32"/>
          <w:szCs w:val="32"/>
        </w:rPr>
        <w:t>29</w:t>
      </w:r>
      <w:r>
        <w:rPr>
          <w:rFonts w:hint="eastAsia" w:ascii="仿宋" w:hAnsi="仿宋" w:eastAsia="仿宋" w:cs="仿宋"/>
          <w:sz w:val="32"/>
          <w:szCs w:val="32"/>
        </w:rPr>
        <w:t>人（校内</w:t>
      </w:r>
      <w:r>
        <w:rPr>
          <w:rFonts w:ascii="仿宋" w:hAnsi="仿宋" w:eastAsia="仿宋" w:cs="仿宋"/>
          <w:sz w:val="32"/>
          <w:szCs w:val="32"/>
        </w:rPr>
        <w:t>17</w:t>
      </w:r>
      <w:r>
        <w:rPr>
          <w:rFonts w:hint="eastAsia" w:ascii="仿宋" w:hAnsi="仿宋" w:eastAsia="仿宋" w:cs="仿宋"/>
          <w:sz w:val="32"/>
          <w:szCs w:val="32"/>
        </w:rPr>
        <w:t>人，校外1</w:t>
      </w:r>
      <w:r>
        <w:rPr>
          <w:rFonts w:ascii="仿宋" w:hAnsi="仿宋" w:eastAsia="仿宋" w:cs="仿宋"/>
          <w:sz w:val="32"/>
          <w:szCs w:val="32"/>
        </w:rPr>
        <w:t>2</w:t>
      </w:r>
      <w:r>
        <w:rPr>
          <w:rFonts w:hint="eastAsia" w:ascii="仿宋" w:hAnsi="仿宋" w:eastAsia="仿宋" w:cs="仿宋"/>
          <w:sz w:val="32"/>
          <w:szCs w:val="32"/>
        </w:rPr>
        <w:t>人），毕业于“985”、“211”高校导师25人、合作导师43人。学院教学基础设施完善，办学条件优越，现有直属附属三级甲等医院1家、广东省教育厅研究生联合培养基地5家和临床实践教学基地</w:t>
      </w:r>
      <w:r>
        <w:rPr>
          <w:rFonts w:hint="eastAsia" w:ascii="仿宋" w:hAnsi="仿宋" w:eastAsia="仿宋" w:cs="仿宋"/>
          <w:sz w:val="32"/>
          <w:szCs w:val="32"/>
          <w:lang w:val="en-US" w:eastAsia="zh-CN"/>
        </w:rPr>
        <w:t>8</w:t>
      </w:r>
      <w:r>
        <w:rPr>
          <w:rFonts w:hint="eastAsia" w:ascii="仿宋" w:hAnsi="仿宋" w:eastAsia="仿宋" w:cs="仿宋"/>
          <w:sz w:val="32"/>
          <w:szCs w:val="32"/>
        </w:rPr>
        <w:t>家（见表2），为护理研究生专业实践和毕业课题设计提供所需的师资、场地和设施保障。</w:t>
      </w:r>
    </w:p>
    <w:p>
      <w:pPr>
        <w:ind w:left="-708" w:leftChars="-337"/>
        <w:jc w:val="center"/>
        <w:rPr>
          <w:rFonts w:ascii="仿宋" w:hAnsi="仿宋" w:eastAsia="仿宋" w:cs="仿宋"/>
          <w:b/>
          <w:bCs/>
          <w:sz w:val="32"/>
          <w:szCs w:val="32"/>
        </w:rPr>
      </w:pPr>
      <w:r>
        <w:rPr>
          <w:rFonts w:hint="eastAsia" w:ascii="仿宋" w:hAnsi="仿宋" w:eastAsia="仿宋" w:cs="仿宋"/>
          <w:b/>
          <w:bCs/>
          <w:sz w:val="32"/>
          <w:szCs w:val="32"/>
        </w:rPr>
        <w:t>表2  护理专业硕士研究生现有实践基地情况</w:t>
      </w:r>
    </w:p>
    <w:tbl>
      <w:tblPr>
        <w:tblStyle w:val="7"/>
        <w:tblW w:w="873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462"/>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4" w:type="dxa"/>
            <w:shd w:val="clear" w:color="auto" w:fill="DEEBF6" w:themeFill="accent1" w:themeFillTint="32"/>
            <w:vAlign w:val="center"/>
          </w:tcPr>
          <w:p>
            <w:pPr>
              <w:jc w:val="center"/>
              <w:rPr>
                <w:rFonts w:ascii="仿宋" w:hAnsi="仿宋" w:eastAsia="仿宋" w:cs="仿宋"/>
                <w:b/>
                <w:bCs/>
                <w:sz w:val="28"/>
                <w:szCs w:val="28"/>
                <w:lang w:bidi="zh-CN"/>
              </w:rPr>
            </w:pPr>
            <w:r>
              <w:rPr>
                <w:rFonts w:hint="eastAsia" w:ascii="仿宋" w:hAnsi="仿宋" w:eastAsia="仿宋" w:cs="仿宋"/>
                <w:b/>
                <w:bCs/>
                <w:sz w:val="28"/>
                <w:szCs w:val="28"/>
                <w:lang w:val="zh-CN" w:bidi="zh-CN"/>
              </w:rPr>
              <w:t>序号</w:t>
            </w:r>
          </w:p>
        </w:tc>
        <w:tc>
          <w:tcPr>
            <w:tcW w:w="4462" w:type="dxa"/>
            <w:shd w:val="clear" w:color="auto" w:fill="DEEBF6" w:themeFill="accent1" w:themeFillTint="32"/>
            <w:vAlign w:val="center"/>
          </w:tcPr>
          <w:p>
            <w:pPr>
              <w:spacing w:line="560" w:lineRule="atLeast"/>
              <w:jc w:val="center"/>
              <w:rPr>
                <w:rFonts w:ascii="仿宋" w:hAnsi="仿宋" w:eastAsia="仿宋" w:cs="仿宋"/>
                <w:b/>
                <w:bCs/>
                <w:sz w:val="28"/>
                <w:szCs w:val="28"/>
                <w:lang w:bidi="zh-CN"/>
              </w:rPr>
            </w:pPr>
            <w:r>
              <w:rPr>
                <w:rFonts w:hint="eastAsia" w:ascii="仿宋" w:hAnsi="仿宋" w:eastAsia="仿宋" w:cs="仿宋"/>
                <w:b/>
                <w:bCs/>
                <w:sz w:val="28"/>
                <w:szCs w:val="28"/>
                <w:lang w:bidi="zh-CN"/>
              </w:rPr>
              <w:t>医院名称</w:t>
            </w:r>
          </w:p>
        </w:tc>
        <w:tc>
          <w:tcPr>
            <w:tcW w:w="3404" w:type="dxa"/>
            <w:shd w:val="clear" w:color="auto" w:fill="DEEBF6" w:themeFill="accent1" w:themeFillTint="32"/>
            <w:vAlign w:val="center"/>
          </w:tcPr>
          <w:p>
            <w:pPr>
              <w:spacing w:line="560" w:lineRule="atLeast"/>
              <w:jc w:val="center"/>
              <w:rPr>
                <w:rFonts w:ascii="仿宋" w:hAnsi="仿宋" w:eastAsia="仿宋" w:cs="仿宋"/>
                <w:b/>
                <w:bCs/>
                <w:sz w:val="28"/>
                <w:szCs w:val="28"/>
                <w:lang w:bidi="zh-CN"/>
              </w:rPr>
            </w:pPr>
            <w:r>
              <w:rPr>
                <w:rFonts w:hint="eastAsia" w:ascii="仿宋" w:hAnsi="仿宋" w:eastAsia="仿宋" w:cs="仿宋"/>
                <w:b/>
                <w:bCs/>
                <w:sz w:val="28"/>
                <w:szCs w:val="28"/>
                <w:lang w:bidi="zh-CN"/>
              </w:rPr>
              <w:t>基地评选情况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1</w:t>
            </w:r>
          </w:p>
        </w:tc>
        <w:tc>
          <w:tcPr>
            <w:tcW w:w="4462" w:type="dxa"/>
            <w:vAlign w:val="center"/>
          </w:tcPr>
          <w:p>
            <w:pPr>
              <w:spacing w:line="360" w:lineRule="auto"/>
              <w:jc w:val="left"/>
              <w:rPr>
                <w:rFonts w:ascii="仿宋" w:hAnsi="仿宋" w:eastAsia="仿宋" w:cs="仿宋"/>
                <w:sz w:val="24"/>
                <w:lang w:val="zh-CN" w:bidi="zh-CN"/>
              </w:rPr>
            </w:pPr>
            <w:r>
              <w:rPr>
                <w:rFonts w:hint="eastAsia" w:ascii="仿宋" w:hAnsi="仿宋" w:eastAsia="仿宋" w:cs="仿宋"/>
                <w:sz w:val="24"/>
                <w:lang w:val="zh-CN" w:bidi="zh-CN"/>
              </w:rPr>
              <w:t>广东药科大学附属第一医院</w:t>
            </w:r>
          </w:p>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（含农林街社区卫生服务中心）</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广东省高等学校实践教学示范中心、广东省高等医学院校教学医院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2</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广州市妇女儿童医疗中心</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广东省教育厅研究生联合培养示范基地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3</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中国人民解放军南部战区总医院</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广东省教育厅研究生联合培养示范基地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val="zh-CN" w:bidi="zh-CN"/>
              </w:rPr>
              <w:t>4</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广东省妇幼保健院</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广东省教育厅研究生联合培养示范基地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5</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bidi="zh-CN"/>
              </w:rPr>
              <w:t>华南理工大学附属第六医院（佛山市南海区人民医院）</w:t>
            </w:r>
          </w:p>
        </w:tc>
        <w:tc>
          <w:tcPr>
            <w:tcW w:w="3404" w:type="dxa"/>
            <w:vAlign w:val="center"/>
          </w:tcPr>
          <w:p>
            <w:pPr>
              <w:spacing w:line="360" w:lineRule="auto"/>
              <w:jc w:val="center"/>
              <w:rPr>
                <w:rFonts w:ascii="仿宋" w:hAnsi="仿宋" w:eastAsia="仿宋" w:cs="仿宋"/>
                <w:sz w:val="24"/>
                <w:lang w:val="zh-CN" w:bidi="zh-CN"/>
              </w:rPr>
            </w:pPr>
            <w:r>
              <w:rPr>
                <w:rFonts w:hint="eastAsia" w:ascii="仿宋" w:hAnsi="仿宋" w:eastAsia="仿宋" w:cs="仿宋"/>
                <w:sz w:val="24"/>
                <w:lang w:val="zh-CN" w:bidi="zh-CN"/>
              </w:rPr>
              <w:t>广东省教育厅研究生联合培养示范基地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6</w:t>
            </w:r>
          </w:p>
        </w:tc>
        <w:tc>
          <w:tcPr>
            <w:tcW w:w="4462" w:type="dxa"/>
            <w:vAlign w:val="center"/>
          </w:tcPr>
          <w:p>
            <w:pPr>
              <w:spacing w:line="360" w:lineRule="auto"/>
              <w:jc w:val="left"/>
              <w:rPr>
                <w:rFonts w:ascii="仿宋" w:hAnsi="仿宋" w:eastAsia="仿宋" w:cs="仿宋"/>
                <w:kern w:val="0"/>
                <w:sz w:val="24"/>
                <w:lang w:bidi="zh-CN"/>
              </w:rPr>
            </w:pPr>
            <w:r>
              <w:rPr>
                <w:rFonts w:hint="eastAsia" w:ascii="仿宋" w:hAnsi="仿宋" w:eastAsia="仿宋" w:cs="仿宋"/>
                <w:kern w:val="0"/>
                <w:sz w:val="24"/>
                <w:lang w:bidi="zh-CN"/>
              </w:rPr>
              <w:t>江门市中心医院</w:t>
            </w:r>
          </w:p>
        </w:tc>
        <w:tc>
          <w:tcPr>
            <w:tcW w:w="3404" w:type="dxa"/>
            <w:vAlign w:val="center"/>
          </w:tcPr>
          <w:p>
            <w:pPr>
              <w:spacing w:line="360" w:lineRule="auto"/>
              <w:jc w:val="center"/>
              <w:rPr>
                <w:rFonts w:ascii="仿宋" w:hAnsi="仿宋" w:eastAsia="仿宋" w:cs="仿宋"/>
                <w:kern w:val="0"/>
                <w:sz w:val="24"/>
                <w:lang w:val="zh-CN" w:bidi="zh-CN"/>
              </w:rPr>
            </w:pPr>
            <w:r>
              <w:rPr>
                <w:rFonts w:hint="eastAsia" w:ascii="仿宋" w:hAnsi="仿宋" w:eastAsia="仿宋" w:cs="仿宋"/>
                <w:kern w:val="0"/>
                <w:sz w:val="24"/>
                <w:lang w:val="zh-CN" w:bidi="zh-CN"/>
              </w:rPr>
              <w:t>广东省教育厅研究生联合培养示范基地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7</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广东省人民医院</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临床实践基地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8</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广东省第二人民医院（</w:t>
            </w:r>
            <w:r>
              <w:rPr>
                <w:rFonts w:hint="eastAsia" w:ascii="仿宋" w:hAnsi="仿宋" w:eastAsia="仿宋" w:cs="仿宋"/>
                <w:sz w:val="24"/>
                <w:lang w:bidi="zh-CN"/>
              </w:rPr>
              <w:t>广东省应急医院）</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临床实践基地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9</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中山大学肿瘤防治中心（中山大学附属肿瘤医院、中山大学肿瘤研究所）</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临床实践基地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10</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广州医科大学附属第三医院</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临床实践基地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11</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广州市番禺区市桥街社区卫生服务中心</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临床实践基地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12</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广州市番禺区钟村街社区卫其它生服务中心</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临床实践基地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13</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广州市</w:t>
            </w:r>
            <w:r>
              <w:rPr>
                <w:rFonts w:hint="eastAsia" w:ascii="仿宋" w:hAnsi="仿宋" w:eastAsia="仿宋" w:cs="仿宋"/>
                <w:sz w:val="24"/>
                <w:lang w:bidi="zh-CN"/>
              </w:rPr>
              <w:t>荔湾区</w:t>
            </w:r>
            <w:r>
              <w:rPr>
                <w:rFonts w:hint="eastAsia" w:ascii="仿宋" w:hAnsi="仿宋" w:eastAsia="仿宋" w:cs="仿宋"/>
                <w:sz w:val="24"/>
                <w:lang w:val="zh-CN" w:bidi="zh-CN"/>
              </w:rPr>
              <w:t>金花街社区卫生服务中心</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临床实践基地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60" w:lineRule="atLeast"/>
              <w:jc w:val="center"/>
              <w:rPr>
                <w:rFonts w:ascii="仿宋" w:hAnsi="仿宋" w:eastAsia="仿宋" w:cs="仿宋"/>
                <w:sz w:val="24"/>
                <w:lang w:bidi="zh-CN"/>
              </w:rPr>
            </w:pPr>
            <w:r>
              <w:rPr>
                <w:rFonts w:hint="eastAsia" w:ascii="仿宋" w:hAnsi="仿宋" w:eastAsia="仿宋" w:cs="仿宋"/>
                <w:sz w:val="24"/>
                <w:lang w:bidi="zh-CN"/>
              </w:rPr>
              <w:t>14</w:t>
            </w:r>
          </w:p>
        </w:tc>
        <w:tc>
          <w:tcPr>
            <w:tcW w:w="4462" w:type="dxa"/>
            <w:vAlign w:val="center"/>
          </w:tcPr>
          <w:p>
            <w:pPr>
              <w:spacing w:line="360" w:lineRule="auto"/>
              <w:jc w:val="left"/>
              <w:rPr>
                <w:rFonts w:ascii="仿宋" w:hAnsi="仿宋" w:eastAsia="仿宋" w:cs="仿宋"/>
                <w:sz w:val="24"/>
                <w:lang w:bidi="zh-CN"/>
              </w:rPr>
            </w:pPr>
            <w:r>
              <w:rPr>
                <w:rFonts w:hint="eastAsia" w:ascii="仿宋" w:hAnsi="仿宋" w:eastAsia="仿宋" w:cs="仿宋"/>
                <w:sz w:val="24"/>
                <w:lang w:val="zh-CN" w:bidi="zh-CN"/>
              </w:rPr>
              <w:t>广州市番禺区沙头街社区卫生服务中心</w:t>
            </w:r>
          </w:p>
        </w:tc>
        <w:tc>
          <w:tcPr>
            <w:tcW w:w="3404" w:type="dxa"/>
            <w:vAlign w:val="center"/>
          </w:tcPr>
          <w:p>
            <w:pPr>
              <w:spacing w:line="360" w:lineRule="auto"/>
              <w:jc w:val="center"/>
              <w:rPr>
                <w:rFonts w:ascii="仿宋" w:hAnsi="仿宋" w:eastAsia="仿宋" w:cs="仿宋"/>
                <w:sz w:val="24"/>
                <w:lang w:bidi="zh-CN"/>
              </w:rPr>
            </w:pPr>
            <w:r>
              <w:rPr>
                <w:rFonts w:hint="eastAsia" w:ascii="仿宋" w:hAnsi="仿宋" w:eastAsia="仿宋" w:cs="仿宋"/>
                <w:sz w:val="24"/>
                <w:lang w:val="zh-CN" w:bidi="zh-CN"/>
              </w:rPr>
              <w:t>临床实践基地</w:t>
            </w:r>
          </w:p>
        </w:tc>
      </w:tr>
    </w:tbl>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年具有招生资格的导师</w:t>
      </w:r>
      <w:r>
        <w:rPr>
          <w:rFonts w:ascii="仿宋" w:hAnsi="仿宋" w:eastAsia="仿宋" w:cs="仿宋"/>
          <w:sz w:val="32"/>
          <w:szCs w:val="32"/>
        </w:rPr>
        <w:t>22</w:t>
      </w:r>
      <w:r>
        <w:rPr>
          <w:rFonts w:hint="eastAsia" w:ascii="仿宋" w:hAnsi="仿宋" w:eastAsia="仿宋" w:cs="仿宋"/>
          <w:sz w:val="32"/>
          <w:szCs w:val="32"/>
        </w:rPr>
        <w:t>人（校内导师1</w:t>
      </w:r>
      <w:r>
        <w:rPr>
          <w:rFonts w:ascii="仿宋" w:hAnsi="仿宋" w:eastAsia="仿宋" w:cs="仿宋"/>
          <w:sz w:val="32"/>
          <w:szCs w:val="32"/>
        </w:rPr>
        <w:t>0</w:t>
      </w:r>
      <w:r>
        <w:rPr>
          <w:rFonts w:hint="eastAsia" w:ascii="仿宋" w:hAnsi="仿宋" w:eastAsia="仿宋" w:cs="仿宋"/>
          <w:sz w:val="32"/>
          <w:szCs w:val="32"/>
        </w:rPr>
        <w:t>人，校外导师1</w:t>
      </w:r>
      <w:r>
        <w:rPr>
          <w:rFonts w:ascii="仿宋" w:hAnsi="仿宋" w:eastAsia="仿宋" w:cs="仿宋"/>
          <w:sz w:val="32"/>
          <w:szCs w:val="32"/>
        </w:rPr>
        <w:t>2</w:t>
      </w:r>
      <w:r>
        <w:rPr>
          <w:rFonts w:hint="eastAsia" w:ascii="仿宋" w:hAnsi="仿宋" w:eastAsia="仿宋" w:cs="仿宋"/>
          <w:sz w:val="32"/>
          <w:szCs w:val="32"/>
        </w:rPr>
        <w:t>人）</w:t>
      </w:r>
      <w:r>
        <w:rPr>
          <w:rFonts w:hint="eastAsia" w:ascii="仿宋" w:hAnsi="仿宋" w:eastAsia="仿宋" w:cs="仿宋"/>
          <w:bCs/>
          <w:kern w:val="0"/>
          <w:sz w:val="32"/>
          <w:szCs w:val="32"/>
        </w:rPr>
        <w:t>（见图2）</w:t>
      </w:r>
      <w:r>
        <w:rPr>
          <w:rFonts w:hint="eastAsia" w:ascii="仿宋" w:hAnsi="仿宋" w:eastAsia="仿宋" w:cs="仿宋"/>
          <w:sz w:val="32"/>
          <w:szCs w:val="32"/>
        </w:rPr>
        <w:t>，其中正高级职称的导师占56%，副高级职称的导师占44%，具有博士学位的导师占3</w:t>
      </w:r>
      <w:r>
        <w:rPr>
          <w:rFonts w:ascii="仿宋" w:hAnsi="仿宋" w:eastAsia="仿宋" w:cs="仿宋"/>
          <w:sz w:val="32"/>
          <w:szCs w:val="32"/>
        </w:rPr>
        <w:t>6</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%，硕士学位的导师占6</w:t>
      </w:r>
      <w:r>
        <w:rPr>
          <w:rFonts w:ascii="仿宋" w:hAnsi="仿宋" w:eastAsia="仿宋" w:cs="仿宋"/>
          <w:sz w:val="32"/>
          <w:szCs w:val="32"/>
        </w:rPr>
        <w:t>3</w:t>
      </w:r>
      <w:r>
        <w:rPr>
          <w:rFonts w:hint="eastAsia" w:ascii="仿宋" w:hAnsi="仿宋" w:eastAsia="仿宋" w:cs="仿宋"/>
          <w:sz w:val="32"/>
          <w:szCs w:val="32"/>
        </w:rPr>
        <w:t>.6%人，45岁以上（含45岁）占6</w:t>
      </w:r>
      <w:r>
        <w:rPr>
          <w:rFonts w:ascii="仿宋" w:hAnsi="仿宋" w:eastAsia="仿宋" w:cs="仿宋"/>
          <w:sz w:val="32"/>
          <w:szCs w:val="32"/>
        </w:rPr>
        <w:t>8</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%，45岁以下占3</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w:t>
      </w:r>
    </w:p>
    <w:p>
      <w:pPr>
        <w:ind w:left="-708" w:leftChars="-337"/>
        <w:rPr>
          <w:rFonts w:ascii="仿宋" w:hAnsi="仿宋" w:eastAsia="仿宋" w:cs="仿宋"/>
          <w:sz w:val="32"/>
          <w:szCs w:val="32"/>
        </w:rPr>
      </w:pPr>
      <w:r>
        <w:drawing>
          <wp:inline distT="0" distB="0" distL="0" distR="0">
            <wp:extent cx="3074670" cy="2603500"/>
            <wp:effectExtent l="0" t="0" r="0" b="0"/>
            <wp:docPr id="141602413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r>
        <w:drawing>
          <wp:inline distT="0" distB="0" distL="0" distR="0">
            <wp:extent cx="2985135" cy="2598420"/>
            <wp:effectExtent l="0" t="0" r="5715" b="11430"/>
            <wp:docPr id="193866117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60" w:lineRule="atLeast"/>
        <w:jc w:val="center"/>
        <w:rPr>
          <w:rFonts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图2  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年具有招生资格导师情况</w:t>
      </w:r>
    </w:p>
    <w:p>
      <w:pPr>
        <w:spacing w:line="560" w:lineRule="atLeast"/>
        <w:rPr>
          <w:color w:val="FF0000"/>
          <w:sz w:val="32"/>
          <w:szCs w:val="32"/>
        </w:rPr>
      </w:pPr>
      <w:r>
        <w:rPr>
          <w:rFonts w:hint="eastAsia" w:ascii="黑体" w:hAnsi="黑体" w:eastAsia="黑体" w:cs="黑体"/>
          <w:b/>
          <w:bCs/>
          <w:color w:val="000000" w:themeColor="text1"/>
          <w:sz w:val="32"/>
          <w:szCs w:val="32"/>
          <w14:textFill>
            <w14:solidFill>
              <w14:schemeClr w14:val="tx1"/>
            </w14:solidFill>
          </w14:textFill>
        </w:rPr>
        <w:t>二、学位点党建与思想政治教育工作</w:t>
      </w:r>
    </w:p>
    <w:p>
      <w:pPr>
        <w:spacing w:line="560" w:lineRule="atLeast"/>
        <w:ind w:firstLine="640" w:firstLineChars="200"/>
        <w:rPr>
          <w:color w:val="FF0000"/>
          <w:sz w:val="32"/>
          <w:szCs w:val="32"/>
        </w:rPr>
      </w:pPr>
      <w:r>
        <w:rPr>
          <w:rFonts w:hint="eastAsia" w:ascii="仿宋" w:hAnsi="仿宋" w:eastAsia="仿宋" w:cs="仿宋"/>
          <w:color w:val="000000"/>
          <w:sz w:val="32"/>
          <w:szCs w:val="32"/>
        </w:rPr>
        <w:t>以习近平新时代中国特色社会主义思想为指导，坚持党对教育工作的领导和社会主义办学方向，加强党建引领和思想政治工作，促进党建与思想政治工作深度融合，保障党的教育方针和立德树人根本任务的落实。</w:t>
      </w:r>
    </w:p>
    <w:p>
      <w:pPr>
        <w:spacing w:line="560" w:lineRule="atLeast"/>
        <w:ind w:firstLine="321" w:firstLineChars="100"/>
        <w:rPr>
          <w:rFonts w:ascii="仿宋" w:hAnsi="仿宋" w:eastAsia="仿宋" w:cs="仿宋"/>
          <w:b/>
          <w:bCs/>
          <w:color w:val="000000"/>
          <w:sz w:val="32"/>
          <w:szCs w:val="32"/>
        </w:rPr>
      </w:pPr>
      <w:r>
        <w:rPr>
          <w:rFonts w:hint="eastAsia" w:ascii="楷体" w:hAnsi="楷体" w:eastAsia="楷体" w:cs="楷体"/>
          <w:b/>
          <w:bCs/>
          <w:color w:val="000000"/>
          <w:sz w:val="32"/>
          <w:szCs w:val="32"/>
        </w:rPr>
        <w:t>（一）党的建设工作情况</w:t>
      </w:r>
    </w:p>
    <w:p>
      <w:pPr>
        <w:tabs>
          <w:tab w:val="left" w:pos="312"/>
        </w:tabs>
        <w:spacing w:line="560" w:lineRule="atLeast"/>
        <w:ind w:firstLine="640" w:firstLineChars="200"/>
        <w:rPr>
          <w:rFonts w:ascii="仿宋" w:hAnsi="仿宋" w:eastAsia="仿宋" w:cs="仿宋"/>
          <w:color w:val="0000FF"/>
          <w:sz w:val="32"/>
          <w:szCs w:val="32"/>
        </w:rPr>
      </w:pPr>
      <w:r>
        <w:rPr>
          <w:rFonts w:hint="eastAsia" w:ascii="仿宋" w:hAnsi="仿宋" w:eastAsia="仿宋" w:cs="仿宋"/>
          <w:color w:val="000000"/>
          <w:sz w:val="32"/>
          <w:szCs w:val="32"/>
        </w:rPr>
        <w:t>以政治建设为统领，全面加强党的思想、组织、作风、纪律建设，落实扩大教工党支部和研究生党支部参与学院工作管理的力度，强化党支部的政治功能和社会号召力。加强党建创新，实施“双带头人”培育工程，促进党建紧扣中心任务融入到人才培养全过程，党的基层组织坚强有力，党员先进模范作用充分发挥。学位点深入开展“学习贯彻习近平新时代中国特色社会主义思想主题教育，落实三位一体的党建阵地建设，筑牢红色教育思想阵地。推动党委标杆院系建设以及研究生党支部样板支部的建设等党建工作走深走实，完成中期检查。目前，学位点党的基层组织健全，党员队伍扩大，素质优良。建有1个教工党支部和1个研究生党支部，共115名党员，其中教工党员23名，占教工总人数（25名）的92%；研究生党员36名，占研究生总人数（学位点149名）的 24.16%。2023年，我院1名研究生党员学生和1名党员老师被评为校优秀共产党员，研究生支部被评为校先进基层党组织。</w:t>
      </w:r>
    </w:p>
    <w:p>
      <w:pPr>
        <w:spacing w:line="560" w:lineRule="atLeast"/>
        <w:ind w:firstLine="643" w:firstLineChars="200"/>
        <w:rPr>
          <w:rFonts w:ascii="楷体" w:hAnsi="楷体" w:eastAsia="楷体" w:cs="楷体"/>
          <w:b/>
          <w:sz w:val="32"/>
          <w:szCs w:val="32"/>
        </w:rPr>
      </w:pPr>
      <w:r>
        <w:rPr>
          <w:rFonts w:hint="eastAsia" w:ascii="楷体" w:hAnsi="楷体" w:eastAsia="楷体" w:cs="楷体"/>
          <w:b/>
          <w:sz w:val="32"/>
          <w:szCs w:val="32"/>
        </w:rPr>
        <w:t>（二）思想政治教育队伍建设情况</w:t>
      </w:r>
    </w:p>
    <w:p>
      <w:pPr>
        <w:tabs>
          <w:tab w:val="left" w:pos="312"/>
        </w:tabs>
        <w:spacing w:line="360" w:lineRule="auto"/>
        <w:ind w:firstLine="640" w:firstLineChars="200"/>
        <w:rPr>
          <w:rFonts w:ascii="仿宋" w:hAnsi="仿宋" w:eastAsia="仿宋"/>
          <w:color w:val="333333"/>
          <w:sz w:val="32"/>
          <w:szCs w:val="32"/>
        </w:rPr>
      </w:pPr>
      <w:r>
        <w:rPr>
          <w:rFonts w:hint="eastAsia" w:ascii="仿宋" w:hAnsi="仿宋" w:eastAsia="仿宋" w:cs="仿宋"/>
          <w:color w:val="000000"/>
          <w:sz w:val="32"/>
          <w:szCs w:val="32"/>
        </w:rPr>
        <w:t>认真落实</w:t>
      </w:r>
      <w:r>
        <w:rPr>
          <w:rFonts w:hint="eastAsia" w:ascii="仿宋" w:hAnsi="仿宋" w:eastAsia="仿宋" w:cs="宋体"/>
          <w:color w:val="333333"/>
          <w:kern w:val="36"/>
          <w:sz w:val="32"/>
          <w:szCs w:val="32"/>
        </w:rPr>
        <w:t>中央宣传部、教育部党组《关于加强和改进高校宣传思想工作队伍建设的意见》</w:t>
      </w:r>
      <w:r>
        <w:rPr>
          <w:rFonts w:hint="eastAsia" w:ascii="仿宋" w:hAnsi="仿宋" w:eastAsia="仿宋" w:cs="仿宋"/>
          <w:color w:val="000000"/>
          <w:sz w:val="32"/>
          <w:szCs w:val="32"/>
        </w:rPr>
        <w:t>，</w:t>
      </w:r>
      <w:r>
        <w:rPr>
          <w:rFonts w:hint="eastAsia" w:ascii="仿宋" w:hAnsi="仿宋" w:eastAsia="仿宋"/>
          <w:color w:val="333333"/>
          <w:sz w:val="32"/>
          <w:szCs w:val="32"/>
        </w:rPr>
        <w:t>在学校党委领导下，护理学院党委加强学位点思想政治教育工作队伍建设，着力</w:t>
      </w:r>
      <w:r>
        <w:rPr>
          <w:rFonts w:hint="eastAsia" w:ascii="仿宋" w:hAnsi="仿宋" w:eastAsia="仿宋"/>
          <w:color w:val="4B4B4B"/>
          <w:sz w:val="32"/>
          <w:szCs w:val="32"/>
          <w:shd w:val="clear" w:color="auto" w:fill="FFFFFF"/>
        </w:rPr>
        <w:t>构建一支具有马克思主义理论素养，政治坚定、专兼结合、结构合理的高素质的队伍，为落实</w:t>
      </w:r>
      <w:r>
        <w:rPr>
          <w:rFonts w:hint="eastAsia" w:ascii="仿宋" w:hAnsi="仿宋" w:eastAsia="仿宋"/>
          <w:color w:val="333333"/>
          <w:sz w:val="32"/>
          <w:szCs w:val="32"/>
        </w:rPr>
        <w:t>“为党育人，为国育人”提供坚强的组织保证。党委明确学位点思想政治教育工作包括意识形态工作、培育和践行社会主义核心价值观、校园文化建设、新闻宣传舆论引导、网络文化建设和管理、教师思想政治工作等职责任务；依政策</w:t>
      </w:r>
      <w:r>
        <w:rPr>
          <w:rFonts w:hint="eastAsia" w:ascii="仿宋" w:hAnsi="仿宋" w:eastAsia="仿宋" w:cs="仿宋"/>
          <w:color w:val="000000"/>
          <w:sz w:val="32"/>
          <w:szCs w:val="32"/>
        </w:rPr>
        <w:t>配本1名专职辅导员，并</w:t>
      </w:r>
      <w:r>
        <w:rPr>
          <w:rFonts w:hint="eastAsia" w:ascii="仿宋" w:hAnsi="仿宋" w:eastAsia="仿宋"/>
          <w:color w:val="333333"/>
          <w:sz w:val="32"/>
          <w:szCs w:val="32"/>
        </w:rPr>
        <w:t>按“三全育人”要求，强化导师负责制度，压实</w:t>
      </w:r>
      <w:r>
        <w:rPr>
          <w:rFonts w:hint="eastAsia" w:ascii="仿宋" w:hAnsi="仿宋" w:eastAsia="仿宋" w:cs="仿宋"/>
          <w:color w:val="000000"/>
          <w:sz w:val="32"/>
          <w:szCs w:val="32"/>
        </w:rPr>
        <w:t>教师作为学生健康成长指导者和引路人的责任，形成较健全的</w:t>
      </w:r>
      <w:r>
        <w:rPr>
          <w:rFonts w:hint="eastAsia" w:ascii="仿宋" w:hAnsi="仿宋" w:eastAsia="仿宋"/>
          <w:color w:val="333333"/>
          <w:sz w:val="32"/>
          <w:szCs w:val="32"/>
        </w:rPr>
        <w:t>党政干部、思政理论课教师、专业课教师、心理健康教育教师、辅导员、共青团干部、和学生骨干等组成的</w:t>
      </w:r>
      <w:r>
        <w:rPr>
          <w:rFonts w:hint="eastAsia" w:ascii="仿宋" w:hAnsi="仿宋" w:eastAsia="仿宋" w:cs="仿宋"/>
          <w:color w:val="000000"/>
          <w:sz w:val="32"/>
          <w:szCs w:val="32"/>
        </w:rPr>
        <w:t>专兼职思政队伍；校院联动，实行二级教育培训，组织理论学习专题班、党建与思政工作业务班、新进教师培训班和专题报告会，开展师德师风教育、纪律教育月活动和社会实践活动等，努力提高思政队伍的整体思想理论素养和能力水平；</w:t>
      </w:r>
      <w:r>
        <w:rPr>
          <w:rFonts w:hint="eastAsia" w:ascii="仿宋" w:hAnsi="仿宋" w:eastAsia="仿宋"/>
          <w:color w:val="333333"/>
          <w:sz w:val="32"/>
          <w:szCs w:val="32"/>
        </w:rPr>
        <w:t>建章立制，完善激励制度，建立党委书记负总责，院长和分管副书记、其他班子成员“一岗双责”的思政工作机制。对辅导员实行“双重身份、双线晋升”和辅导员、党支部书记每月3</w:t>
      </w:r>
      <w:r>
        <w:rPr>
          <w:rFonts w:ascii="仿宋" w:hAnsi="仿宋" w:eastAsia="仿宋"/>
          <w:color w:val="333333"/>
          <w:sz w:val="32"/>
          <w:szCs w:val="32"/>
        </w:rPr>
        <w:t>00</w:t>
      </w:r>
      <w:r>
        <w:rPr>
          <w:rFonts w:hint="eastAsia" w:ascii="仿宋" w:hAnsi="仿宋" w:eastAsia="仿宋"/>
          <w:color w:val="333333"/>
          <w:sz w:val="32"/>
          <w:szCs w:val="32"/>
        </w:rPr>
        <w:t>元津贴补贴的政策。思想政治教育队伍能力突出、勇于担当，学位点连续多年被评为学校就业先进单位。</w:t>
      </w:r>
    </w:p>
    <w:p>
      <w:pPr>
        <w:spacing w:line="560" w:lineRule="atLeast"/>
        <w:ind w:firstLine="643" w:firstLineChars="200"/>
        <w:rPr>
          <w:rFonts w:ascii="仿宋" w:hAnsi="仿宋" w:eastAsia="仿宋" w:cs="仿宋"/>
          <w:b/>
          <w:bCs/>
          <w:color w:val="000000"/>
          <w:sz w:val="32"/>
          <w:szCs w:val="32"/>
        </w:rPr>
      </w:pPr>
      <w:r>
        <w:rPr>
          <w:rFonts w:hint="eastAsia" w:ascii="楷体" w:hAnsi="楷体" w:eastAsia="楷体" w:cs="楷体"/>
          <w:b/>
          <w:bCs/>
          <w:color w:val="000000"/>
          <w:sz w:val="32"/>
          <w:szCs w:val="32"/>
        </w:rPr>
        <w:t>（三）理想信念和社会主义主义核心价值观教育情况</w:t>
      </w:r>
    </w:p>
    <w:p>
      <w:pPr>
        <w:tabs>
          <w:tab w:val="left" w:pos="312"/>
        </w:tabs>
        <w:spacing w:line="56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落实立德树人根本任务，坚持用习近平新时代中国特色社会主义思想教育学生，培养理想信念坚定，践行社会主义核心价值观的时代新人。</w:t>
      </w:r>
    </w:p>
    <w:p>
      <w:pPr>
        <w:widowControl/>
        <w:ind w:firstLine="640" w:firstLineChars="200"/>
        <w:jc w:val="left"/>
        <w:rPr>
          <w:rFonts w:ascii="仿宋" w:hAnsi="仿宋" w:eastAsia="仿宋" w:cs="仿宋"/>
          <w:sz w:val="32"/>
          <w:szCs w:val="32"/>
        </w:rPr>
      </w:pPr>
      <w:r>
        <w:rPr>
          <w:rFonts w:hint="eastAsia" w:ascii="仿宋" w:hAnsi="仿宋" w:eastAsia="仿宋" w:cs="仿宋"/>
          <w:color w:val="000000"/>
          <w:sz w:val="32"/>
          <w:szCs w:val="32"/>
        </w:rPr>
        <w:t>1.全面实施课程思政改革，促进思政课程与课程思政同向育人。围绕护理人才培养目标，学位点将思政元素写入研究生课程教学大纲实施全课程、全员开展课程思</w:t>
      </w:r>
      <w:r>
        <w:rPr>
          <w:rFonts w:hint="eastAsia" w:ascii="仿宋" w:hAnsi="仿宋" w:eastAsia="仿宋" w:cs="仿宋"/>
          <w:sz w:val="32"/>
          <w:szCs w:val="32"/>
        </w:rPr>
        <w:t>政，促进了</w:t>
      </w:r>
      <w:r>
        <w:rPr>
          <w:rFonts w:hint="eastAsia" w:ascii="仿宋" w:hAnsi="仿宋" w:eastAsia="仿宋" w:cs="仿宋"/>
          <w:color w:val="000000"/>
          <w:sz w:val="32"/>
          <w:szCs w:val="32"/>
        </w:rPr>
        <w:t>思政理论课程教学更加贴近护理专业特点，使其思</w:t>
      </w:r>
      <w:r>
        <w:rPr>
          <w:rFonts w:hint="eastAsia" w:ascii="仿宋" w:hAnsi="仿宋" w:eastAsia="仿宋" w:cs="仿宋"/>
          <w:sz w:val="32"/>
          <w:szCs w:val="32"/>
        </w:rPr>
        <w:t>想教育的</w:t>
      </w:r>
      <w:r>
        <w:rPr>
          <w:rFonts w:hint="eastAsia" w:ascii="仿宋" w:hAnsi="仿宋" w:eastAsia="仿宋" w:cs="仿宋"/>
          <w:color w:val="000000"/>
          <w:sz w:val="32"/>
          <w:szCs w:val="32"/>
        </w:rPr>
        <w:t>主渠道作用得到强化</w:t>
      </w:r>
      <w:r>
        <w:rPr>
          <w:rFonts w:hint="eastAsia" w:ascii="仿宋" w:hAnsi="仿宋" w:eastAsia="仿宋" w:cs="仿宋"/>
          <w:sz w:val="32"/>
          <w:szCs w:val="32"/>
        </w:rPr>
        <w:t>；构建专业课、人文素养课和社会实践第二课堂“三位一体”课程思政体系，发挥课程思政示范课程、示范团队的引领作用，带动课程思政全面实施，使思政课程与课程思政同向育人。学位点所有专业课围绕理想信念、价值观念、公民素养、职业道德、法律法规和人文素养等六个课程思政指标点，深挖护理课程思政元素，修订专业课教学方案；增设护理伦理和人文素养课程，厚植学生的职业伦理道德和医护人文精神；社会</w:t>
      </w:r>
      <w:r>
        <w:rPr>
          <w:rFonts w:hint="eastAsia" w:ascii="仿宋" w:hAnsi="仿宋" w:eastAsia="仿宋" w:cs="仿宋"/>
          <w:color w:val="000000"/>
          <w:sz w:val="32"/>
          <w:szCs w:val="32"/>
        </w:rPr>
        <w:t>实践第二课堂“知行合一”教育培养学生，将研究生课程思政写入研究生课程教学大纲里，把研究生思想政治教育、道德教育和文化素质教育贯穿育人全程，实现全程育人、</w:t>
      </w:r>
      <w:r>
        <w:rPr>
          <w:rFonts w:hint="eastAsia" w:ascii="仿宋" w:hAnsi="仿宋" w:eastAsia="仿宋" w:cs="仿宋"/>
          <w:sz w:val="32"/>
          <w:szCs w:val="32"/>
        </w:rPr>
        <w:t>全方位育人、全员育人。2023年“护理学院党委”通过了中国共产党广东药科大学委员会“标杆院系”中期考核。研究生党支部荣获广东药科大学“先进基层党组织”荣誉称号，党员“讲奉献，显担当，创先进”，打造出以党员为先锋的“青年志愿者服务队”优秀品牌。由天辉教授团队的《内科护理学》获国家级线下一流课程，蔡舒副教授的“基于成果导向理念的《老年护理学》维实践项目续教育课程思政教学研究与实践”获广东省继续教育质量提升工程建设类项目立项，罗翱翔副教授的《以劳动为基，绽生命教育之彩-基础生命支持（心肺复苏术）》获首届高校劳动教育示范案例征集活动展播优秀案例，梁文丽副教授团队的《儿童免疫规划》获2023 年度广东省高校课程思政优秀案例（展播课）。</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加强意识形态领域风险防控，筑牢思想阵地。严把政治方向，推进习近平新时代中国特色社会主义思想“三进”工作。落实“党政同责”、“一岗双责”和意识形态“六个责任”。成立意识形态风险防控工作小组，定期开展意识形态研判和风险排查和整改；严格执行审批制度，加强对教材、课堂教学、论坛和社团等的管理；加强对师生微信群等社交媒介管控，加强网络文明、网络安全教育。高度关注学生的心理健康，通过学校开放线上心理测试平台，做好新生心理测试和访谈，对学生心理需求进行调研，做到早识别、早防范、早干预，维护了校园和谐、安全、稳定。</w:t>
      </w:r>
    </w:p>
    <w:p>
      <w:pPr>
        <w:spacing w:line="560" w:lineRule="atLeast"/>
        <w:ind w:firstLine="640" w:firstLineChars="200"/>
        <w:rPr>
          <w:rFonts w:ascii="仿宋" w:hAnsi="仿宋" w:eastAsia="仿宋" w:cs="仿宋"/>
          <w:sz w:val="32"/>
          <w:szCs w:val="32"/>
        </w:rPr>
      </w:pPr>
      <w:r>
        <w:rPr>
          <w:rFonts w:hint="eastAsia" w:ascii="仿宋" w:hAnsi="仿宋" w:eastAsia="仿宋" w:cs="仿宋"/>
          <w:color w:val="000000"/>
          <w:sz w:val="32"/>
          <w:szCs w:val="32"/>
        </w:rPr>
        <w:t>3.重视学生社会实践，知行合一培养综合素质。</w:t>
      </w:r>
      <w:r>
        <w:rPr>
          <w:rFonts w:hint="eastAsia" w:ascii="仿宋" w:hAnsi="仿宋" w:eastAsia="仿宋" w:cs="仿宋"/>
          <w:sz w:val="32"/>
          <w:szCs w:val="32"/>
        </w:rPr>
        <w:t>社会实践教育对培养学生综合素质形成有力支撑。2023年2月、3月，研究生党支部组织全体党员及入党积极分子开展“走访红色基地，践行群众路线”志愿服务活动，各位党员及非党员同志力所能及地为人民群众做好事，办实事，解难事，例如春运期间为乘客服务，广州动物园为游客服务，医院里的为病人服务等。</w:t>
      </w:r>
      <w:r>
        <w:rPr>
          <w:rFonts w:ascii="仿宋" w:hAnsi="仿宋" w:eastAsia="仿宋" w:cs="仿宋"/>
          <w:sz w:val="32"/>
          <w:szCs w:val="32"/>
        </w:rPr>
        <w:t>9月，</w:t>
      </w:r>
      <w:r>
        <w:rPr>
          <w:rFonts w:hint="eastAsia" w:ascii="仿宋" w:hAnsi="仿宋" w:eastAsia="仿宋" w:cs="仿宋"/>
          <w:sz w:val="32"/>
          <w:szCs w:val="32"/>
        </w:rPr>
        <w:t>研究生党</w:t>
      </w:r>
      <w:r>
        <w:rPr>
          <w:rFonts w:ascii="仿宋" w:hAnsi="仿宋" w:eastAsia="仿宋" w:cs="仿宋"/>
          <w:sz w:val="32"/>
          <w:szCs w:val="32"/>
        </w:rPr>
        <w:t>支部带领党员及入党积极分子联合中山大学益先社会工作研究院开展海珠区沙园社区医院中秋探访活动，为行动不便的老年患者送上节日祝福和中秋灯笼、表演节目</w:t>
      </w:r>
      <w:r>
        <w:rPr>
          <w:rFonts w:hint="eastAsia" w:ascii="仿宋" w:hAnsi="仿宋" w:eastAsia="仿宋" w:cs="仿宋"/>
          <w:sz w:val="32"/>
          <w:szCs w:val="32"/>
        </w:rPr>
        <w:t>。11月，研究生党</w:t>
      </w:r>
      <w:r>
        <w:rPr>
          <w:rFonts w:ascii="仿宋" w:hAnsi="仿宋" w:eastAsia="仿宋" w:cs="仿宋"/>
          <w:sz w:val="32"/>
          <w:szCs w:val="32"/>
        </w:rPr>
        <w:t>支部</w:t>
      </w:r>
      <w:r>
        <w:rPr>
          <w:rFonts w:hint="eastAsia" w:ascii="仿宋" w:hAnsi="仿宋" w:eastAsia="仿宋" w:cs="仿宋"/>
          <w:sz w:val="32"/>
          <w:szCs w:val="32"/>
        </w:rPr>
        <w:t>与广东省人民医院机关第五党支部（护理部支部）联合共建。</w:t>
      </w:r>
    </w:p>
    <w:p>
      <w:pPr>
        <w:spacing w:line="560" w:lineRule="atLeast"/>
        <w:ind w:firstLine="643" w:firstLineChars="200"/>
        <w:rPr>
          <w:rFonts w:ascii="仿宋" w:hAnsi="仿宋" w:eastAsia="仿宋" w:cs="仿宋"/>
          <w:sz w:val="32"/>
          <w:szCs w:val="32"/>
        </w:rPr>
      </w:pPr>
      <w:r>
        <w:rPr>
          <w:rFonts w:hint="eastAsia" w:ascii="仿宋" w:hAnsi="仿宋" w:eastAsia="仿宋" w:cs="仿宋"/>
          <w:b/>
          <w:bCs/>
          <w:sz w:val="32"/>
          <w:szCs w:val="32"/>
        </w:rPr>
        <w:t>（四）加强文化建设情况</w:t>
      </w:r>
    </w:p>
    <w:p>
      <w:pPr>
        <w:spacing w:line="560" w:lineRule="atLeast"/>
        <w:ind w:firstLine="640" w:firstLineChars="200"/>
      </w:pPr>
      <w:r>
        <w:rPr>
          <w:rFonts w:hint="eastAsia" w:ascii="仿宋" w:hAnsi="仿宋" w:eastAsia="仿宋" w:cs="仿宋"/>
          <w:sz w:val="32"/>
          <w:szCs w:val="32"/>
        </w:rPr>
        <w:t>坚持“药学中西、医道济世”、“励志笃行、融通日新”的校训、校风精神，倡导文明风尚，发挥文化浸润育人作用，积极开展内容丰富和形式多样的文化创建活动，大力培育具有护理专业特点的学院文化。</w:t>
      </w:r>
      <w:r>
        <w:rPr>
          <w:rFonts w:ascii="仿宋" w:hAnsi="仿宋" w:eastAsia="仿宋" w:cs="仿宋"/>
          <w:sz w:val="32"/>
          <w:szCs w:val="32"/>
        </w:rPr>
        <w:t>2023年3月，组织护理学院全体研究生集中观看第十四届全国人大一次会议开幕式</w:t>
      </w:r>
      <w:r>
        <w:rPr>
          <w:rFonts w:hint="eastAsia" w:ascii="仿宋" w:hAnsi="仿宋" w:eastAsia="仿宋" w:cs="仿宋"/>
          <w:sz w:val="32"/>
          <w:szCs w:val="32"/>
        </w:rPr>
        <w:t>，</w:t>
      </w:r>
      <w:r>
        <w:rPr>
          <w:rFonts w:ascii="仿宋" w:hAnsi="仿宋" w:eastAsia="仿宋" w:cs="仿宋"/>
          <w:sz w:val="32"/>
          <w:szCs w:val="32"/>
        </w:rPr>
        <w:t>组织全体研究生线上观看《榜样7》，充分发挥典型的引导、示范、辐射、带动作用</w:t>
      </w:r>
      <w:r>
        <w:rPr>
          <w:rFonts w:hint="eastAsia" w:ascii="仿宋" w:hAnsi="仿宋" w:eastAsia="仿宋" w:cs="仿宋"/>
          <w:sz w:val="32"/>
          <w:szCs w:val="32"/>
        </w:rPr>
        <w:t>，并</w:t>
      </w:r>
      <w:r>
        <w:rPr>
          <w:rFonts w:ascii="仿宋" w:hAnsi="仿宋" w:eastAsia="仿宋" w:cs="仿宋"/>
          <w:sz w:val="32"/>
          <w:szCs w:val="32"/>
        </w:rPr>
        <w:t>通过微党课形式开展“宣传贯彻二十大精神”学习</w:t>
      </w: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月，组织全体教职工党员、研究生党员、发展对象及入党积极分子参观辛亥革命纪念馆、黄埔军校等活动。9月，组织全体研究生开展“我为师恩送祝福”主题活动，让教师节在金秋的灿烂光华里成为一道温暖的风景。利用“学习强国”APP，以线上学习最新时政知识的形式武装党员力量，研究生党支部8月、11月分别开展两次为期超过20天的学习强国知识竞赛活动，引导学生党员“以赛促学、以赛促练、以赛促用”，不断强化思想政治教育，用理论知识武装头脑，同时全方位营造终身学习氛围，助力学习型校园建设。</w:t>
      </w:r>
    </w:p>
    <w:p>
      <w:pPr>
        <w:spacing w:line="560" w:lineRule="atLeast"/>
        <w:rPr>
          <w:rFonts w:ascii="仿宋" w:hAnsi="仿宋" w:eastAsia="仿宋" w:cs="仿宋"/>
          <w:color w:val="000000"/>
          <w:kern w:val="0"/>
          <w:sz w:val="32"/>
          <w:szCs w:val="32"/>
        </w:rPr>
      </w:pPr>
      <w:r>
        <w:rPr>
          <w:rFonts w:hint="eastAsia" w:ascii="黑体" w:hAnsi="黑体" w:eastAsia="黑体" w:cs="黑体"/>
          <w:b/>
          <w:bCs/>
          <w:sz w:val="32"/>
          <w:szCs w:val="32"/>
        </w:rPr>
        <w:t>三、研究生培养相关制度及执行情况</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为规范研究生培养全过程，学校制定了广东药科大学研究生培养工作实施细则（修订）》广药大〔2022〕142号、《广东药科大学研究生学位论文开题的规定（修订）》广药大〔2022〕138号、《广东药科大学硕士学位授予工作细则（修订）》广药大〔2022〕137号、《广东药科大学研究生联合基地建设管理办法（修订）》广药大〔2022〕135号、《广东药科大学研究生培养方案总则（修订）》广药大〔2022〕154号、《广东药科大学学位与研究生教育督导工作规定》广药大〔2020〕136号及《广东药科大学落实研究生导师立德树人职责实施意见》广药大发[2021]90号等相关制度</w:t>
      </w:r>
      <w:r>
        <w:rPr>
          <w:rFonts w:hint="eastAsia" w:ascii="仿宋" w:hAnsi="仿宋" w:eastAsia="仿宋" w:cs="仿宋"/>
          <w:sz w:val="32"/>
          <w:szCs w:val="32"/>
        </w:rPr>
        <w:t>规范研究生管理</w:t>
      </w:r>
      <w:r>
        <w:rPr>
          <w:rFonts w:hint="eastAsia" w:ascii="仿宋" w:hAnsi="仿宋" w:eastAsia="仿宋" w:cs="仿宋"/>
          <w:color w:val="000000"/>
          <w:kern w:val="0"/>
          <w:sz w:val="32"/>
          <w:szCs w:val="32"/>
        </w:rPr>
        <w:t>；学位点为规范护理专业硕士研究生培养全过程，制订有《</w:t>
      </w:r>
      <w:r>
        <w:rPr>
          <w:rFonts w:hint="eastAsia" w:ascii="仿宋" w:hAnsi="仿宋" w:eastAsia="仿宋" w:cs="仿宋"/>
          <w:sz w:val="32"/>
          <w:szCs w:val="32"/>
        </w:rPr>
        <w:t>护理专业硕士研究生导师立德树人职责评价与考核工作方案》、</w:t>
      </w:r>
      <w:r>
        <w:rPr>
          <w:rFonts w:hint="eastAsia" w:ascii="仿宋" w:hAnsi="仿宋" w:eastAsia="仿宋" w:cs="仿宋"/>
          <w:color w:val="000000"/>
          <w:kern w:val="0"/>
          <w:sz w:val="32"/>
          <w:szCs w:val="32"/>
        </w:rPr>
        <w:t>《护理学院专业硕士学位研究生培养方案》、《广东药大学护理专业硕士研究生学习指导》、《广东药大学护理专业硕士研究生临床能力培养计划》、《护理（专业学位）硕士研究生复试录取工作方案》等制度，各项教学档案资料齐全、管理规范有序；各实践基地根据自身的实际情况制订了本单位的《实践教学管理制度汇编》，对临床教研室工作职责、研究生轮科要求与安排、带教老师职责与考核、专业硕士研究生实践教学考核等方面有明确的管理制度。执行情况如下：</w:t>
      </w:r>
    </w:p>
    <w:p>
      <w:pPr>
        <w:spacing w:line="560" w:lineRule="atLeast"/>
        <w:ind w:firstLine="643" w:firstLineChars="200"/>
        <w:rPr>
          <w:rFonts w:ascii="楷体" w:hAnsi="楷体" w:eastAsia="楷体" w:cs="楷体"/>
          <w:b/>
          <w:sz w:val="32"/>
          <w:szCs w:val="32"/>
        </w:rPr>
      </w:pPr>
      <w:r>
        <w:rPr>
          <w:rFonts w:hint="eastAsia" w:ascii="楷体" w:hAnsi="楷体" w:eastAsia="楷体" w:cs="楷体"/>
          <w:b/>
          <w:sz w:val="32"/>
          <w:szCs w:val="32"/>
        </w:rPr>
        <w:t>（一）课程建设与实施情况</w:t>
      </w:r>
    </w:p>
    <w:p>
      <w:pPr>
        <w:spacing w:line="560" w:lineRule="atLeast"/>
        <w:ind w:firstLine="640" w:firstLineChars="200"/>
        <w:rPr>
          <w:rFonts w:ascii="仿宋" w:hAnsi="仿宋" w:eastAsia="仿宋" w:cs="仿宋"/>
          <w:color w:val="000000"/>
          <w:kern w:val="0"/>
          <w:sz w:val="32"/>
          <w:szCs w:val="32"/>
        </w:rPr>
      </w:pPr>
      <w:r>
        <w:rPr>
          <w:rFonts w:hint="eastAsia" w:ascii="仿宋" w:hAnsi="仿宋" w:eastAsia="仿宋" w:cs="仿宋"/>
          <w:bCs/>
          <w:sz w:val="32"/>
          <w:szCs w:val="32"/>
        </w:rPr>
        <w:t>围绕立德树人的根本任务，</w:t>
      </w:r>
      <w:r>
        <w:rPr>
          <w:rFonts w:hint="eastAsia" w:ascii="仿宋" w:hAnsi="仿宋" w:eastAsia="仿宋" w:cs="仿宋"/>
          <w:color w:val="000000"/>
          <w:kern w:val="0"/>
          <w:sz w:val="32"/>
          <w:szCs w:val="32"/>
        </w:rPr>
        <w:t>依据《护理硕士专业学位研究生指导性培养方案（试行）》（学位办〔2011〕34号）等文件要求，经思政、行业和教育专家多轮论证形成，2021年修订护理专业硕士研究生培养方案和各课程教学大纲，各专业课程将思政教育的元素写入教学大纲中。方案突出人才培养的实践性和创新性，在课程设置、专业实践和学位论文等方面设定明确质量标准。根据护理实践领域对专门人才的知识与素质要求设置课程（见表3），以培养学生专科护理实践能力为主，同时注重培养教学能力和研究能力。实行学分制，达到毕业要求应修满28学分，其中：公共课7学分，专业基础课12学分，专业课8学分（必修课6学分，选修课2学分），学术活动1学分。</w:t>
      </w:r>
    </w:p>
    <w:p>
      <w:pPr>
        <w:widowControl/>
        <w:shd w:val="clear" w:color="auto" w:fill="FFFFFF"/>
        <w:spacing w:before="100" w:after="100" w:line="560" w:lineRule="atLeas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themeColor="text1"/>
          <w:sz w:val="32"/>
          <w:szCs w:val="32"/>
          <w14:textFill>
            <w14:solidFill>
              <w14:schemeClr w14:val="tx1"/>
            </w14:solidFill>
          </w14:textFill>
        </w:rPr>
        <w:t>围绕培养临床高层次、应用型、专科型护理人才的目标，结合慢性病护理、重症监护和母婴护理三个培养方向的特点，以“高级健康评估”和“护理研究与循证护理”两门护理专业学位核心课程为抓手，培养研究生临床和研究核心能力。“高级健康评估”强调理论与实践的有机结合，突出案例分析和实践技能；“护理研究与循证护理”着力培养学生的学术鉴别能力和独立研究能力。加强实践环节，</w:t>
      </w:r>
      <w:r>
        <w:rPr>
          <w:rFonts w:hint="eastAsia" w:ascii="仿宋" w:hAnsi="仿宋" w:eastAsia="仿宋" w:cs="仿宋"/>
          <w:color w:val="000000"/>
          <w:kern w:val="0"/>
          <w:sz w:val="32"/>
          <w:szCs w:val="32"/>
        </w:rPr>
        <w:t>服务育人环节，根据培养方向按《广东药科大学护理硕士专业学位临床实践大纲》要求进行专科护理实践。</w:t>
      </w:r>
    </w:p>
    <w:p>
      <w:pPr>
        <w:spacing w:line="560" w:lineRule="atLeast"/>
        <w:ind w:firstLine="643" w:firstLineChars="200"/>
        <w:jc w:val="center"/>
        <w:rPr>
          <w:rFonts w:ascii="仿宋" w:hAnsi="仿宋" w:eastAsia="仿宋" w:cs="仿宋"/>
          <w:sz w:val="32"/>
          <w:szCs w:val="32"/>
        </w:rPr>
      </w:pPr>
      <w:r>
        <w:rPr>
          <w:rFonts w:hint="eastAsia" w:ascii="仿宋" w:hAnsi="仿宋" w:eastAsia="仿宋" w:cs="仿宋"/>
          <w:b/>
          <w:bCs/>
          <w:sz w:val="32"/>
          <w:szCs w:val="32"/>
        </w:rPr>
        <w:t>表3  护理专业硕士学位研究生课程设置</w:t>
      </w:r>
    </w:p>
    <w:tbl>
      <w:tblPr>
        <w:tblStyle w:val="6"/>
        <w:tblW w:w="879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24"/>
        <w:gridCol w:w="3081"/>
        <w:gridCol w:w="639"/>
        <w:gridCol w:w="962"/>
        <w:gridCol w:w="739"/>
        <w:gridCol w:w="1134"/>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824" w:type="dxa"/>
            <w:tcBorders>
              <w:top w:val="outset" w:color="auto" w:sz="6" w:space="0"/>
              <w:left w:val="outset" w:color="auto" w:sz="6" w:space="0"/>
              <w:bottom w:val="outset" w:color="auto" w:sz="6" w:space="0"/>
              <w:right w:val="outset" w:color="auto" w:sz="6" w:space="0"/>
            </w:tcBorders>
            <w:shd w:val="clear" w:color="auto" w:fill="DEEBF6" w:themeFill="accent1" w:themeFillTint="32"/>
            <w:vAlign w:val="center"/>
          </w:tcPr>
          <w:p>
            <w:pPr>
              <w:spacing w:line="560" w:lineRule="atLeas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3081" w:type="dxa"/>
            <w:tcBorders>
              <w:top w:val="outset" w:color="auto" w:sz="6" w:space="0"/>
              <w:left w:val="outset" w:color="auto" w:sz="6" w:space="0"/>
              <w:bottom w:val="outset" w:color="auto" w:sz="6" w:space="0"/>
              <w:right w:val="outset" w:color="auto" w:sz="6" w:space="0"/>
            </w:tcBorders>
            <w:shd w:val="clear" w:color="auto" w:fill="DEEBF6" w:themeFill="accent1" w:themeFillTint="32"/>
            <w:vAlign w:val="center"/>
          </w:tcPr>
          <w:p>
            <w:pPr>
              <w:spacing w:line="560" w:lineRule="atLeas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课程名称</w:t>
            </w:r>
          </w:p>
        </w:tc>
        <w:tc>
          <w:tcPr>
            <w:tcW w:w="639" w:type="dxa"/>
            <w:tcBorders>
              <w:top w:val="outset" w:color="auto" w:sz="6" w:space="0"/>
              <w:left w:val="outset" w:color="auto" w:sz="6" w:space="0"/>
              <w:bottom w:val="outset" w:color="auto" w:sz="6" w:space="0"/>
              <w:right w:val="outset" w:color="auto" w:sz="6" w:space="0"/>
            </w:tcBorders>
            <w:shd w:val="clear" w:color="auto" w:fill="DEEBF6" w:themeFill="accent1" w:themeFillTint="32"/>
            <w:vAlign w:val="center"/>
          </w:tcPr>
          <w:p>
            <w:pPr>
              <w:spacing w:line="560" w:lineRule="atLeast"/>
              <w:jc w:val="center"/>
              <w:rPr>
                <w:rFonts w:ascii="仿宋" w:hAnsi="仿宋" w:eastAsia="仿宋" w:cs="仿宋"/>
                <w:b/>
                <w:bCs/>
                <w:sz w:val="28"/>
                <w:szCs w:val="28"/>
              </w:rPr>
            </w:pPr>
            <w:r>
              <w:rPr>
                <w:rFonts w:hint="eastAsia" w:ascii="仿宋" w:hAnsi="仿宋" w:eastAsia="仿宋" w:cs="仿宋"/>
                <w:b/>
                <w:bCs/>
                <w:sz w:val="28"/>
                <w:szCs w:val="28"/>
              </w:rPr>
              <w:t>开课学期</w:t>
            </w:r>
          </w:p>
        </w:tc>
        <w:tc>
          <w:tcPr>
            <w:tcW w:w="962" w:type="dxa"/>
            <w:tcBorders>
              <w:top w:val="outset" w:color="auto" w:sz="6" w:space="0"/>
              <w:left w:val="outset" w:color="auto" w:sz="6" w:space="0"/>
              <w:bottom w:val="outset" w:color="auto" w:sz="6" w:space="0"/>
              <w:right w:val="outset" w:color="auto" w:sz="6" w:space="0"/>
            </w:tcBorders>
            <w:shd w:val="clear" w:color="auto" w:fill="DEEBF6" w:themeFill="accent1" w:themeFillTint="32"/>
            <w:vAlign w:val="center"/>
          </w:tcPr>
          <w:p>
            <w:pPr>
              <w:spacing w:line="560" w:lineRule="atLeast"/>
              <w:jc w:val="center"/>
              <w:rPr>
                <w:rFonts w:ascii="仿宋" w:hAnsi="仿宋" w:eastAsia="仿宋" w:cs="仿宋"/>
                <w:b/>
                <w:bCs/>
                <w:sz w:val="28"/>
                <w:szCs w:val="28"/>
              </w:rPr>
            </w:pPr>
            <w:r>
              <w:rPr>
                <w:rFonts w:hint="eastAsia" w:ascii="仿宋" w:hAnsi="仿宋" w:eastAsia="仿宋" w:cs="仿宋"/>
                <w:b/>
                <w:bCs/>
                <w:sz w:val="28"/>
                <w:szCs w:val="28"/>
              </w:rPr>
              <w:t>总学时</w:t>
            </w:r>
          </w:p>
        </w:tc>
        <w:tc>
          <w:tcPr>
            <w:tcW w:w="739" w:type="dxa"/>
            <w:tcBorders>
              <w:top w:val="outset" w:color="auto" w:sz="6" w:space="0"/>
              <w:left w:val="outset" w:color="auto" w:sz="6" w:space="0"/>
              <w:bottom w:val="outset" w:color="auto" w:sz="6" w:space="0"/>
              <w:right w:val="outset" w:color="auto" w:sz="6" w:space="0"/>
            </w:tcBorders>
            <w:shd w:val="clear" w:color="auto" w:fill="DEEBF6" w:themeFill="accent1" w:themeFillTint="32"/>
            <w:vAlign w:val="center"/>
          </w:tcPr>
          <w:p>
            <w:pPr>
              <w:spacing w:line="560" w:lineRule="atLeast"/>
              <w:jc w:val="center"/>
              <w:rPr>
                <w:rFonts w:ascii="仿宋" w:hAnsi="仿宋" w:eastAsia="仿宋" w:cs="仿宋"/>
                <w:b/>
                <w:bCs/>
                <w:sz w:val="28"/>
                <w:szCs w:val="28"/>
              </w:rPr>
            </w:pPr>
            <w:r>
              <w:rPr>
                <w:rFonts w:hint="eastAsia" w:ascii="仿宋" w:hAnsi="仿宋" w:eastAsia="仿宋" w:cs="仿宋"/>
                <w:b/>
                <w:bCs/>
                <w:sz w:val="28"/>
                <w:szCs w:val="28"/>
              </w:rPr>
              <w:t>学分</w:t>
            </w:r>
          </w:p>
        </w:tc>
        <w:tc>
          <w:tcPr>
            <w:tcW w:w="1134" w:type="dxa"/>
            <w:tcBorders>
              <w:top w:val="outset" w:color="auto" w:sz="6" w:space="0"/>
              <w:left w:val="outset" w:color="auto" w:sz="6" w:space="0"/>
              <w:bottom w:val="outset" w:color="auto" w:sz="6" w:space="0"/>
              <w:right w:val="outset" w:color="auto" w:sz="6" w:space="0"/>
            </w:tcBorders>
            <w:shd w:val="clear" w:color="auto" w:fill="DEEBF6" w:themeFill="accent1" w:themeFillTint="32"/>
            <w:vAlign w:val="center"/>
          </w:tcPr>
          <w:p>
            <w:pPr>
              <w:spacing w:line="560" w:lineRule="atLeast"/>
              <w:jc w:val="center"/>
              <w:rPr>
                <w:rFonts w:ascii="仿宋" w:hAnsi="仿宋" w:eastAsia="仿宋" w:cs="仿宋"/>
                <w:b/>
                <w:bCs/>
                <w:sz w:val="28"/>
                <w:szCs w:val="28"/>
              </w:rPr>
            </w:pPr>
            <w:r>
              <w:rPr>
                <w:rFonts w:hint="eastAsia" w:ascii="仿宋" w:hAnsi="仿宋" w:eastAsia="仿宋" w:cs="仿宋"/>
                <w:b/>
                <w:bCs/>
                <w:sz w:val="28"/>
                <w:szCs w:val="28"/>
              </w:rPr>
              <w:t>考核方式</w:t>
            </w:r>
          </w:p>
        </w:tc>
        <w:tc>
          <w:tcPr>
            <w:tcW w:w="1418" w:type="dxa"/>
            <w:tcBorders>
              <w:top w:val="outset" w:color="auto" w:sz="6" w:space="0"/>
              <w:left w:val="outset" w:color="auto" w:sz="6" w:space="0"/>
              <w:bottom w:val="outset" w:color="auto" w:sz="6" w:space="0"/>
              <w:right w:val="outset" w:color="auto" w:sz="6" w:space="0"/>
            </w:tcBorders>
            <w:shd w:val="clear" w:color="auto" w:fill="DEEBF6" w:themeFill="accent1" w:themeFillTint="32"/>
            <w:vAlign w:val="center"/>
          </w:tcPr>
          <w:p>
            <w:pPr>
              <w:spacing w:line="560" w:lineRule="atLeas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b/>
                <w:bCs/>
                <w:sz w:val="32"/>
                <w:szCs w:val="32"/>
              </w:rPr>
            </w:pPr>
            <w:r>
              <w:rPr>
                <w:rFonts w:hint="eastAsia" w:ascii="仿宋" w:hAnsi="仿宋" w:eastAsia="仿宋" w:cs="仿宋"/>
                <w:b/>
                <w:bCs/>
                <w:sz w:val="32"/>
                <w:szCs w:val="32"/>
              </w:rPr>
              <w:t>公</w:t>
            </w:r>
          </w:p>
          <w:p>
            <w:pPr>
              <w:spacing w:line="560" w:lineRule="atLeast"/>
              <w:jc w:val="center"/>
              <w:rPr>
                <w:rFonts w:ascii="仿宋" w:hAnsi="仿宋" w:eastAsia="仿宋" w:cs="仿宋"/>
                <w:b/>
                <w:bCs/>
                <w:sz w:val="32"/>
                <w:szCs w:val="32"/>
              </w:rPr>
            </w:pPr>
            <w:r>
              <w:rPr>
                <w:rFonts w:hint="eastAsia" w:ascii="仿宋" w:hAnsi="仿宋" w:eastAsia="仿宋" w:cs="仿宋"/>
                <w:b/>
                <w:bCs/>
                <w:sz w:val="32"/>
                <w:szCs w:val="32"/>
              </w:rPr>
              <w:t>共</w:t>
            </w:r>
          </w:p>
          <w:p>
            <w:pPr>
              <w:spacing w:line="560" w:lineRule="atLeast"/>
              <w:jc w:val="center"/>
              <w:rPr>
                <w:rFonts w:ascii="仿宋" w:hAnsi="仿宋" w:eastAsia="仿宋" w:cs="仿宋"/>
                <w:b/>
                <w:bCs/>
                <w:sz w:val="32"/>
                <w:szCs w:val="32"/>
              </w:rPr>
            </w:pPr>
            <w:r>
              <w:rPr>
                <w:rFonts w:hint="eastAsia" w:ascii="仿宋" w:hAnsi="仿宋" w:eastAsia="仿宋" w:cs="仿宋"/>
                <w:b/>
                <w:bCs/>
                <w:sz w:val="32"/>
                <w:szCs w:val="32"/>
              </w:rPr>
              <w:t>课</w:t>
            </w: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公共英语（含口语）</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72</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4</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 xml:space="preserve">   必选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ind w:firstLine="643" w:firstLineChars="200"/>
              <w:jc w:val="center"/>
              <w:rPr>
                <w:rFonts w:ascii="仿宋" w:hAnsi="仿宋" w:eastAsia="仿宋" w:cs="仿宋"/>
                <w:b/>
                <w:bCs/>
                <w:sz w:val="32"/>
                <w:szCs w:val="32"/>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习 近平新 时 代中国特 色 社 会 主 义 思 想 专 题 研 究</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考试</w:t>
            </w:r>
          </w:p>
        </w:tc>
        <w:tc>
          <w:tcPr>
            <w:tcW w:w="1418" w:type="dxa"/>
            <w:vMerge w:val="restart"/>
            <w:tcBorders>
              <w:top w:val="outset" w:color="auto" w:sz="6" w:space="0"/>
              <w:left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必选一门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ind w:firstLine="643" w:firstLineChars="200"/>
              <w:jc w:val="center"/>
              <w:rPr>
                <w:rFonts w:ascii="仿宋" w:hAnsi="仿宋" w:eastAsia="仿宋" w:cs="仿宋"/>
                <w:b/>
                <w:bCs/>
                <w:sz w:val="32"/>
                <w:szCs w:val="32"/>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 xml:space="preserve"> 马 克 思 恩 格 斯 列 宁 经 典 著 作 选 读 </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考试</w:t>
            </w:r>
          </w:p>
        </w:tc>
        <w:tc>
          <w:tcPr>
            <w:tcW w:w="1418" w:type="dxa"/>
            <w:vMerge w:val="continue"/>
            <w:tcBorders>
              <w:left w:val="outset" w:color="auto" w:sz="6" w:space="0"/>
              <w:right w:val="outset" w:color="auto" w:sz="6" w:space="0"/>
            </w:tcBorders>
            <w:shd w:val="clear" w:color="auto" w:fill="FFFFFF"/>
            <w:vAlign w:val="center"/>
          </w:tcPr>
          <w:p>
            <w:pPr>
              <w:jc w:val="center"/>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3" w:hRule="atLeast"/>
        </w:trPr>
        <w:tc>
          <w:tcPr>
            <w:tcW w:w="82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ind w:firstLine="643" w:firstLineChars="200"/>
              <w:jc w:val="center"/>
              <w:rPr>
                <w:rFonts w:ascii="仿宋" w:hAnsi="仿宋" w:eastAsia="仿宋" w:cs="仿宋"/>
                <w:b/>
                <w:bCs/>
                <w:sz w:val="32"/>
                <w:szCs w:val="32"/>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马 克 思 主 义 与 社 会科学方法 论</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考试</w:t>
            </w:r>
          </w:p>
        </w:tc>
        <w:tc>
          <w:tcPr>
            <w:tcW w:w="1418" w:type="dxa"/>
            <w:vMerge w:val="continue"/>
            <w:tcBorders>
              <w:left w:val="outset" w:color="auto" w:sz="6" w:space="0"/>
              <w:right w:val="outset" w:color="auto" w:sz="6" w:space="0"/>
            </w:tcBorders>
            <w:shd w:val="clear" w:color="auto" w:fill="FFFFFF"/>
            <w:vAlign w:val="center"/>
          </w:tcPr>
          <w:p>
            <w:pPr>
              <w:jc w:val="center"/>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ind w:firstLine="643" w:firstLineChars="200"/>
              <w:jc w:val="center"/>
              <w:rPr>
                <w:rFonts w:ascii="仿宋" w:hAnsi="仿宋" w:eastAsia="仿宋" w:cs="仿宋"/>
                <w:b/>
                <w:bCs/>
                <w:sz w:val="32"/>
                <w:szCs w:val="32"/>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自然 辩证 法概 论</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考试</w:t>
            </w:r>
          </w:p>
        </w:tc>
        <w:tc>
          <w:tcPr>
            <w:tcW w:w="1418" w:type="dxa"/>
            <w:vMerge w:val="continue"/>
            <w:tcBorders>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bottom w:val="single" w:color="auto" w:sz="4" w:space="0"/>
              <w:right w:val="outset" w:color="auto" w:sz="6" w:space="0"/>
            </w:tcBorders>
            <w:shd w:val="clear" w:color="auto" w:fill="FFFFFF"/>
            <w:vAlign w:val="center"/>
          </w:tcPr>
          <w:p>
            <w:pPr>
              <w:spacing w:line="560" w:lineRule="atLeast"/>
              <w:ind w:firstLine="643" w:firstLineChars="200"/>
              <w:jc w:val="center"/>
              <w:rPr>
                <w:rFonts w:ascii="仿宋" w:hAnsi="仿宋" w:eastAsia="仿宋" w:cs="仿宋"/>
                <w:b/>
                <w:bCs/>
                <w:sz w:val="32"/>
                <w:szCs w:val="32"/>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中国特色社会主义</w:t>
            </w:r>
          </w:p>
          <w:p>
            <w:pPr>
              <w:jc w:val="center"/>
              <w:rPr>
                <w:rFonts w:ascii="仿宋" w:hAnsi="仿宋" w:eastAsia="仿宋" w:cs="仿宋"/>
                <w:sz w:val="24"/>
              </w:rPr>
            </w:pPr>
            <w:r>
              <w:rPr>
                <w:rFonts w:hint="eastAsia" w:ascii="仿宋" w:hAnsi="仿宋" w:eastAsia="仿宋" w:cs="仿宋"/>
                <w:sz w:val="24"/>
              </w:rPr>
              <w:t>理论与实践研究</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36</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2</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考试</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必选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restart"/>
            <w:tcBorders>
              <w:top w:val="outset" w:color="auto" w:sz="6" w:space="0"/>
              <w:left w:val="outset" w:color="auto" w:sz="6" w:space="0"/>
              <w:right w:val="outset" w:color="auto" w:sz="6" w:space="0"/>
            </w:tcBorders>
            <w:shd w:val="clear" w:color="auto" w:fill="FFFFFF"/>
          </w:tcPr>
          <w:p>
            <w:pPr>
              <w:spacing w:line="560" w:lineRule="atLeast"/>
              <w:jc w:val="center"/>
              <w:rPr>
                <w:rFonts w:ascii="仿宋" w:hAnsi="仿宋" w:eastAsia="仿宋" w:cs="仿宋"/>
                <w:sz w:val="28"/>
                <w:szCs w:val="28"/>
              </w:rPr>
            </w:pPr>
          </w:p>
          <w:p>
            <w:pPr>
              <w:spacing w:line="560" w:lineRule="atLeast"/>
              <w:jc w:val="center"/>
              <w:rPr>
                <w:rFonts w:ascii="仿宋" w:hAnsi="仿宋" w:eastAsia="仿宋" w:cs="仿宋"/>
                <w:sz w:val="28"/>
                <w:szCs w:val="28"/>
              </w:rPr>
            </w:pPr>
            <w:r>
              <w:rPr>
                <w:rFonts w:hint="eastAsia" w:ascii="仿宋" w:hAnsi="仿宋" w:eastAsia="仿宋" w:cs="仿宋"/>
                <w:sz w:val="28"/>
                <w:szCs w:val="28"/>
              </w:rPr>
              <w:t>专</w:t>
            </w:r>
          </w:p>
          <w:p>
            <w:pPr>
              <w:spacing w:line="560" w:lineRule="atLeast"/>
              <w:jc w:val="center"/>
              <w:rPr>
                <w:rFonts w:ascii="仿宋" w:hAnsi="仿宋" w:eastAsia="仿宋" w:cs="仿宋"/>
                <w:sz w:val="28"/>
                <w:szCs w:val="28"/>
              </w:rPr>
            </w:pPr>
            <w:r>
              <w:rPr>
                <w:rFonts w:hint="eastAsia" w:ascii="仿宋" w:hAnsi="仿宋" w:eastAsia="仿宋" w:cs="仿宋"/>
                <w:sz w:val="28"/>
                <w:szCs w:val="28"/>
              </w:rPr>
              <w:t>业</w:t>
            </w:r>
          </w:p>
          <w:p>
            <w:pPr>
              <w:spacing w:line="560" w:lineRule="atLeast"/>
              <w:jc w:val="center"/>
              <w:rPr>
                <w:rFonts w:ascii="仿宋" w:hAnsi="仿宋" w:eastAsia="仿宋" w:cs="仿宋"/>
                <w:sz w:val="28"/>
                <w:szCs w:val="28"/>
              </w:rPr>
            </w:pPr>
            <w:r>
              <w:rPr>
                <w:rFonts w:hint="eastAsia" w:ascii="仿宋" w:hAnsi="仿宋" w:eastAsia="仿宋" w:cs="仿宋"/>
                <w:sz w:val="28"/>
                <w:szCs w:val="28"/>
              </w:rPr>
              <w:t>基</w:t>
            </w:r>
          </w:p>
          <w:p>
            <w:pPr>
              <w:spacing w:line="560" w:lineRule="atLeast"/>
              <w:jc w:val="center"/>
              <w:rPr>
                <w:rFonts w:ascii="仿宋" w:hAnsi="仿宋" w:eastAsia="仿宋" w:cs="仿宋"/>
                <w:sz w:val="28"/>
                <w:szCs w:val="28"/>
              </w:rPr>
            </w:pPr>
            <w:r>
              <w:rPr>
                <w:rFonts w:hint="eastAsia" w:ascii="仿宋" w:hAnsi="仿宋" w:eastAsia="仿宋" w:cs="仿宋"/>
                <w:sz w:val="28"/>
                <w:szCs w:val="28"/>
              </w:rPr>
              <w:t>础</w:t>
            </w:r>
          </w:p>
          <w:p>
            <w:pPr>
              <w:spacing w:line="560" w:lineRule="atLeast"/>
              <w:jc w:val="center"/>
              <w:rPr>
                <w:rFonts w:ascii="仿宋" w:hAnsi="仿宋" w:eastAsia="仿宋" w:cs="仿宋"/>
                <w:sz w:val="28"/>
                <w:szCs w:val="28"/>
              </w:rPr>
            </w:pPr>
            <w:r>
              <w:rPr>
                <w:rFonts w:hint="eastAsia" w:ascii="仿宋" w:hAnsi="仿宋" w:eastAsia="仿宋" w:cs="仿宋"/>
                <w:sz w:val="28"/>
                <w:szCs w:val="28"/>
              </w:rPr>
              <w:t>课</w:t>
            </w: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高级健康评估</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54</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必选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临床药物治疗学</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36</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必选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高级病理生理学</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36</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tcBorders>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必选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824" w:type="dxa"/>
            <w:vMerge w:val="continue"/>
            <w:tcBorders>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护理研究与循证护理</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36</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必选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医学统计学</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36</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必选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824" w:type="dxa"/>
            <w:vMerge w:val="continue"/>
            <w:tcBorders>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论文写作指导</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必选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restart"/>
            <w:tcBorders>
              <w:top w:val="single" w:color="auto" w:sz="4"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p>
            <w:pPr>
              <w:spacing w:line="560" w:lineRule="atLeast"/>
              <w:jc w:val="center"/>
              <w:rPr>
                <w:rFonts w:ascii="仿宋" w:hAnsi="仿宋" w:eastAsia="仿宋" w:cs="仿宋"/>
                <w:sz w:val="28"/>
                <w:szCs w:val="28"/>
              </w:rPr>
            </w:pPr>
            <w:r>
              <w:rPr>
                <w:rFonts w:hint="eastAsia" w:ascii="仿宋" w:hAnsi="仿宋" w:eastAsia="仿宋" w:cs="仿宋"/>
                <w:sz w:val="28"/>
                <w:szCs w:val="28"/>
              </w:rPr>
              <w:t>专</w:t>
            </w:r>
          </w:p>
          <w:p>
            <w:pPr>
              <w:spacing w:line="560" w:lineRule="atLeast"/>
              <w:jc w:val="center"/>
              <w:rPr>
                <w:rFonts w:ascii="仿宋" w:hAnsi="仿宋" w:eastAsia="仿宋" w:cs="仿宋"/>
                <w:sz w:val="28"/>
                <w:szCs w:val="28"/>
              </w:rPr>
            </w:pPr>
          </w:p>
          <w:p>
            <w:pPr>
              <w:spacing w:line="560" w:lineRule="atLeast"/>
              <w:jc w:val="center"/>
              <w:rPr>
                <w:rFonts w:ascii="仿宋" w:hAnsi="仿宋" w:eastAsia="仿宋" w:cs="仿宋"/>
                <w:sz w:val="28"/>
                <w:szCs w:val="28"/>
              </w:rPr>
            </w:pPr>
            <w:r>
              <w:rPr>
                <w:rFonts w:hint="eastAsia" w:ascii="仿宋" w:hAnsi="仿宋" w:eastAsia="仿宋" w:cs="仿宋"/>
                <w:sz w:val="28"/>
                <w:szCs w:val="28"/>
              </w:rPr>
              <w:t>业</w:t>
            </w:r>
          </w:p>
          <w:p>
            <w:pPr>
              <w:spacing w:line="560" w:lineRule="atLeast"/>
              <w:jc w:val="center"/>
              <w:rPr>
                <w:rFonts w:ascii="仿宋" w:hAnsi="仿宋" w:eastAsia="仿宋" w:cs="仿宋"/>
                <w:sz w:val="28"/>
                <w:szCs w:val="28"/>
              </w:rPr>
            </w:pPr>
          </w:p>
          <w:p>
            <w:pPr>
              <w:spacing w:line="560" w:lineRule="atLeast"/>
              <w:jc w:val="center"/>
              <w:rPr>
                <w:rFonts w:ascii="仿宋" w:hAnsi="仿宋" w:eastAsia="仿宋" w:cs="仿宋"/>
                <w:sz w:val="28"/>
                <w:szCs w:val="28"/>
              </w:rPr>
            </w:pPr>
            <w:r>
              <w:rPr>
                <w:rFonts w:hint="eastAsia" w:ascii="仿宋" w:hAnsi="仿宋" w:eastAsia="仿宋" w:cs="仿宋"/>
                <w:sz w:val="28"/>
                <w:szCs w:val="28"/>
              </w:rPr>
              <w:t>课</w:t>
            </w: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慢性病护理案例学习</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2-5</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36</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vMerge w:val="restart"/>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p>
          <w:p>
            <w:pPr>
              <w:spacing w:line="560" w:lineRule="atLeast"/>
              <w:jc w:val="center"/>
              <w:rPr>
                <w:rFonts w:ascii="仿宋" w:hAnsi="仿宋" w:eastAsia="仿宋" w:cs="仿宋"/>
                <w:sz w:val="24"/>
              </w:rPr>
            </w:pPr>
            <w:r>
              <w:rPr>
                <w:rFonts w:hint="eastAsia" w:ascii="仿宋" w:hAnsi="仿宋" w:eastAsia="仿宋" w:cs="仿宋"/>
                <w:sz w:val="24"/>
              </w:rPr>
              <w:t>按培养方向</w:t>
            </w:r>
          </w:p>
          <w:p>
            <w:pPr>
              <w:spacing w:line="560" w:lineRule="atLeast"/>
              <w:jc w:val="center"/>
              <w:rPr>
                <w:rFonts w:ascii="仿宋" w:hAnsi="仿宋" w:eastAsia="仿宋" w:cs="仿宋"/>
                <w:sz w:val="24"/>
              </w:rPr>
            </w:pPr>
            <w:r>
              <w:rPr>
                <w:rFonts w:hint="eastAsia" w:ascii="仿宋" w:hAnsi="仿宋" w:eastAsia="仿宋" w:cs="仿宋"/>
                <w:sz w:val="24"/>
              </w:rPr>
              <w:t>必选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top w:val="single" w:color="auto" w:sz="4"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母婴护理案例学习</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2-5</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36</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vMerge w:val="continue"/>
            <w:tcBorders>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top w:val="single" w:color="auto" w:sz="4"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重症监护案例学习</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2-5</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36</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vMerge w:val="continue"/>
            <w:tcBorders>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高级护理实践</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2-6</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4</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实践基地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护理管理理论与实践</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考查</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选修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社区护理理论与实践</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考查</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选修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医学人文与临床实践</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考查</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选修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护理伦理理论与实践</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考查</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选修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医学信息检索与利用</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考查</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选修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流行病学思维与方法</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54</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考查</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选修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常用统计软件与应用</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36</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考查</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选修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824" w:type="dxa"/>
            <w:vMerge w:val="continue"/>
            <w:tcBorders>
              <w:top w:val="outset" w:color="auto" w:sz="6" w:space="0"/>
              <w:left w:val="outset" w:color="auto" w:sz="6" w:space="0"/>
              <w:bottom w:val="single" w:color="auto" w:sz="4" w:space="0"/>
              <w:right w:val="outset" w:color="auto" w:sz="6" w:space="0"/>
            </w:tcBorders>
            <w:shd w:val="clear" w:color="auto" w:fill="FFFFFF"/>
            <w:vAlign w:val="center"/>
          </w:tcPr>
          <w:p>
            <w:pPr>
              <w:spacing w:line="560" w:lineRule="atLeast"/>
              <w:jc w:val="center"/>
              <w:rPr>
                <w:rFonts w:ascii="仿宋" w:hAnsi="仿宋" w:eastAsia="仿宋" w:cs="仿宋"/>
                <w:sz w:val="28"/>
                <w:szCs w:val="28"/>
              </w:rPr>
            </w:pPr>
          </w:p>
        </w:tc>
        <w:tc>
          <w:tcPr>
            <w:tcW w:w="3081" w:type="dxa"/>
            <w:tcBorders>
              <w:top w:val="outset" w:color="auto" w:sz="6" w:space="0"/>
              <w:left w:val="outset" w:color="auto" w:sz="6" w:space="0"/>
              <w:bottom w:val="single" w:color="auto" w:sz="4"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护理教育理论与实践</w:t>
            </w:r>
          </w:p>
        </w:tc>
        <w:tc>
          <w:tcPr>
            <w:tcW w:w="6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2-5</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18</w:t>
            </w: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考试</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选修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39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学术活动</w:t>
            </w:r>
          </w:p>
        </w:tc>
        <w:tc>
          <w:tcPr>
            <w:tcW w:w="639" w:type="dxa"/>
            <w:tcBorders>
              <w:top w:val="outset" w:color="auto" w:sz="6" w:space="0"/>
              <w:left w:val="single" w:color="auto" w:sz="4"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1-6</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p>
        </w:tc>
        <w:tc>
          <w:tcPr>
            <w:tcW w:w="7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1</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考查</w:t>
            </w:r>
          </w:p>
        </w:tc>
        <w:tc>
          <w:tcPr>
            <w:tcW w:w="141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560" w:lineRule="atLeast"/>
              <w:jc w:val="center"/>
              <w:rPr>
                <w:rFonts w:ascii="仿宋" w:hAnsi="仿宋" w:eastAsia="仿宋" w:cs="仿宋"/>
                <w:sz w:val="24"/>
              </w:rPr>
            </w:pPr>
            <w:r>
              <w:rPr>
                <w:rFonts w:hint="eastAsia" w:ascii="仿宋" w:hAnsi="仿宋" w:eastAsia="仿宋" w:cs="仿宋"/>
                <w:sz w:val="24"/>
              </w:rPr>
              <w:t>必选</w:t>
            </w:r>
          </w:p>
        </w:tc>
      </w:tr>
    </w:tbl>
    <w:p>
      <w:pPr>
        <w:numPr>
          <w:ilvl w:val="0"/>
          <w:numId w:val="2"/>
        </w:numPr>
        <w:spacing w:line="560" w:lineRule="atLeast"/>
        <w:ind w:firstLine="640"/>
        <w:rPr>
          <w:rFonts w:ascii="楷体" w:hAnsi="楷体" w:eastAsia="楷体" w:cs="楷体"/>
          <w:b/>
          <w:sz w:val="32"/>
          <w:szCs w:val="32"/>
        </w:rPr>
      </w:pPr>
      <w:r>
        <w:rPr>
          <w:rFonts w:hint="eastAsia" w:ascii="楷体" w:hAnsi="楷体" w:eastAsia="楷体" w:cs="楷体"/>
          <w:b/>
          <w:sz w:val="32"/>
          <w:szCs w:val="32"/>
        </w:rPr>
        <w:t>导师选拔培训情况</w:t>
      </w:r>
    </w:p>
    <w:p>
      <w:pPr>
        <w:snapToGrid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1.导师遴选严格，注重规范化培训。导师的招生资格每年遴选，</w:t>
      </w:r>
      <w:r>
        <w:rPr>
          <w:rFonts w:hint="eastAsia" w:eastAsia="仿宋_GB2312"/>
          <w:sz w:val="32"/>
          <w:szCs w:val="32"/>
        </w:rPr>
        <w:t>为强化研究生导师履行岗位职责的意识，改进研究生培养工作，提高研究生培养质量，对研究生导师每三年进行一次考核。</w:t>
      </w:r>
      <w:r>
        <w:rPr>
          <w:rFonts w:hint="eastAsia" w:ascii="仿宋" w:hAnsi="仿宋" w:eastAsia="仿宋" w:cs="仿宋"/>
          <w:sz w:val="32"/>
          <w:szCs w:val="32"/>
        </w:rPr>
        <w:t xml:space="preserve">导师培训制度化、常态化，每年对新聘导师进行规范化培训和教育，除了注重学术道德教育，也注重师德师风教育，强调师德师风在育人治学中的重要性，重视对导师职业道德和学术道德的考核评价。 </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2.高素质“双师型”导师队伍，保证培养质量。学位点导师均为双师型，50%的导师同时具有教师资格证和护士执业证书。开展校院（医院）导师联合培养的“双导师制”，实现“产、学、研、用”有机结合，指导学生在临床实践、科研能力等方面的提升。 </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3.多学科组建导师组，激发创新能力。</w:t>
      </w:r>
      <w:r>
        <w:rPr>
          <w:rFonts w:hint="eastAsia" w:ascii="仿宋" w:hAnsi="仿宋" w:eastAsia="仿宋" w:cs="仿宋"/>
          <w:sz w:val="32"/>
          <w:szCs w:val="32"/>
        </w:rPr>
        <w:t>构建导师组，由导师组共同制订培养计划，参与学生培养全过程。导师组成员由护理学、临床医学、基础医学及药学等学科背景的教师组成，发挥学科间的交叉优势，培养高素质护理人才，形成师资梯队，促进青年教师快速成长。</w:t>
      </w:r>
    </w:p>
    <w:p>
      <w:pPr>
        <w:numPr>
          <w:ilvl w:val="0"/>
          <w:numId w:val="2"/>
        </w:numPr>
        <w:spacing w:line="560" w:lineRule="atLeast"/>
        <w:ind w:firstLine="640"/>
        <w:rPr>
          <w:rFonts w:ascii="楷体" w:hAnsi="楷体" w:eastAsia="楷体" w:cs="楷体"/>
          <w:b/>
          <w:sz w:val="32"/>
          <w:szCs w:val="32"/>
        </w:rPr>
      </w:pPr>
      <w:r>
        <w:rPr>
          <w:rFonts w:hint="eastAsia" w:ascii="楷体" w:hAnsi="楷体" w:eastAsia="楷体" w:cs="楷体"/>
          <w:b/>
          <w:sz w:val="32"/>
          <w:szCs w:val="32"/>
        </w:rPr>
        <w:t>师德师风建设情况</w:t>
      </w:r>
    </w:p>
    <w:p>
      <w:pPr>
        <w:spacing w:line="560" w:lineRule="atLeast"/>
        <w:ind w:firstLine="640" w:firstLineChars="200"/>
        <w:rPr>
          <w:rFonts w:ascii="仿宋" w:hAnsi="仿宋" w:eastAsia="仿宋" w:cs="楷体"/>
          <w:bCs/>
          <w:sz w:val="32"/>
          <w:szCs w:val="32"/>
        </w:rPr>
      </w:pPr>
      <w:r>
        <w:rPr>
          <w:rFonts w:hint="eastAsia" w:ascii="仿宋" w:hAnsi="仿宋" w:eastAsia="仿宋" w:cs="仿宋"/>
          <w:sz w:val="32"/>
          <w:szCs w:val="32"/>
        </w:rPr>
        <w:t>认真贯彻落实习总书记关于教育的重要论述、全国教育大会和</w:t>
      </w:r>
      <w:r>
        <w:rPr>
          <w:rFonts w:hint="eastAsia" w:ascii="仿宋" w:hAnsi="仿宋" w:eastAsia="仿宋" w:cs="宋体"/>
          <w:color w:val="333333"/>
          <w:kern w:val="36"/>
          <w:sz w:val="32"/>
          <w:szCs w:val="32"/>
        </w:rPr>
        <w:t>教育部等七部门印发《关于加强和改进新时代师德师风建设的意见》的通知</w:t>
      </w:r>
      <w:r>
        <w:rPr>
          <w:rFonts w:hint="eastAsia" w:ascii="仿宋" w:hAnsi="仿宋" w:eastAsia="仿宋" w:cs="仿宋"/>
          <w:sz w:val="32"/>
          <w:szCs w:val="32"/>
        </w:rPr>
        <w:t>精神，坚持把立德树人的成效作为检验学院一切工作的根本标准，把师德师风作为评价教师队伍素质的第一标准，</w:t>
      </w:r>
      <w:r>
        <w:rPr>
          <w:rFonts w:hint="eastAsia" w:ascii="仿宋" w:hAnsi="仿宋" w:eastAsia="仿宋"/>
          <w:bCs/>
          <w:color w:val="333333"/>
          <w:sz w:val="32"/>
          <w:szCs w:val="32"/>
          <w:shd w:val="clear" w:color="auto" w:fill="FFFFFF"/>
        </w:rPr>
        <w:t>全面加强教师队伍思想政治工作，大力提升教师职业道德素养</w:t>
      </w:r>
      <w:r>
        <w:rPr>
          <w:rFonts w:hint="eastAsia" w:ascii="仿宋" w:hAnsi="仿宋" w:eastAsia="仿宋"/>
          <w:color w:val="333333"/>
          <w:sz w:val="32"/>
          <w:szCs w:val="32"/>
          <w:shd w:val="clear" w:color="auto" w:fill="FFFFFF"/>
        </w:rPr>
        <w:t>，</w:t>
      </w:r>
      <w:r>
        <w:rPr>
          <w:rFonts w:hint="eastAsia" w:ascii="仿宋" w:hAnsi="仿宋" w:eastAsia="仿宋" w:cs="仿宋"/>
          <w:sz w:val="32"/>
          <w:szCs w:val="32"/>
        </w:rPr>
        <w:t>将师德师风建设贯穿教师管理全过程，建设有理想信念、有道德情操、有扎实学识、有仁爱之心的“四有”教师队伍。</w:t>
      </w:r>
    </w:p>
    <w:p>
      <w:pPr>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1.坚持和完善师德师风建设制度。学位点认真执行《广东药科大学建立健全师德建设长效机制》、</w:t>
      </w:r>
      <w:r>
        <w:rPr>
          <w:rFonts w:hint="eastAsia" w:ascii="仿宋" w:hAnsi="仿宋" w:eastAsia="仿宋" w:cs="仿宋"/>
          <w:kern w:val="0"/>
          <w:sz w:val="32"/>
          <w:szCs w:val="32"/>
          <w:lang w:bidi="ar"/>
        </w:rPr>
        <w:t>《广东药科大学落实研究生导师立德树人职责实施意见》（广药大发[2021]90号、</w:t>
      </w:r>
      <w:r>
        <w:rPr>
          <w:rFonts w:hint="eastAsia" w:ascii="仿宋" w:hAnsi="仿宋" w:eastAsia="仿宋" w:cs="仿宋"/>
          <w:sz w:val="32"/>
          <w:szCs w:val="32"/>
        </w:rPr>
        <w:t>《关于加强和改进新时代师德师风建设的意见》(教师〔2019〕10号 )、《广东药科大学研究生指导教师管理办法》（广药大〔2018〕6号）、《研究生导师指导行为准则》（教研〔2020〕12号）、</w:t>
      </w:r>
      <w:r>
        <w:rPr>
          <w:rFonts w:hint="eastAsia" w:ascii="仿宋" w:hAnsi="仿宋" w:eastAsia="仿宋" w:cs="仿宋"/>
          <w:kern w:val="0"/>
          <w:sz w:val="32"/>
          <w:szCs w:val="32"/>
          <w:lang w:bidi="ar"/>
        </w:rPr>
        <w:t>《广东药科大学落实研究生导师立德树人职责实施意见》（广药大发[2021]90号</w:t>
      </w:r>
      <w:r>
        <w:rPr>
          <w:rFonts w:hint="eastAsia" w:ascii="仿宋" w:hAnsi="仿宋" w:eastAsia="仿宋" w:cs="仿宋"/>
          <w:sz w:val="32"/>
          <w:szCs w:val="32"/>
        </w:rPr>
        <w:t>等一系列学校关于师德师风建设组织领导、宣传教育、规范管理、创建活动的制度。在学校党委的领导和师德建设委员会具体组织下，学位点建立了党政齐抓共管、严格制度规定，</w:t>
      </w:r>
      <w:r>
        <w:rPr>
          <w:rFonts w:hint="eastAsia" w:ascii="仿宋" w:hAnsi="仿宋" w:eastAsia="仿宋"/>
          <w:color w:val="333333"/>
          <w:sz w:val="32"/>
          <w:szCs w:val="32"/>
          <w:shd w:val="clear" w:color="auto" w:fill="FFFFFF"/>
        </w:rPr>
        <w:t>强化日常教育，</w:t>
      </w:r>
      <w:r>
        <w:rPr>
          <w:rFonts w:hint="eastAsia" w:ascii="仿宋" w:hAnsi="仿宋" w:eastAsia="仿宋" w:cs="仿宋"/>
          <w:sz w:val="32"/>
          <w:szCs w:val="32"/>
        </w:rPr>
        <w:t>教师自我约束的领导体制和工作机制。</w:t>
      </w:r>
    </w:p>
    <w:p>
      <w:pPr>
        <w:spacing w:line="560" w:lineRule="atLeast"/>
        <w:ind w:firstLine="640" w:firstLineChars="200"/>
        <w:rPr>
          <w:rFonts w:ascii="仿宋" w:hAnsi="仿宋" w:eastAsia="仿宋"/>
          <w:color w:val="333333"/>
          <w:sz w:val="32"/>
          <w:szCs w:val="32"/>
          <w:shd w:val="clear" w:color="auto" w:fill="FFFFFF"/>
        </w:rPr>
      </w:pPr>
      <w:r>
        <w:rPr>
          <w:rFonts w:hint="eastAsia" w:ascii="仿宋" w:hAnsi="仿宋" w:eastAsia="仿宋" w:cs="仿宋"/>
          <w:sz w:val="32"/>
          <w:szCs w:val="32"/>
        </w:rPr>
        <w:t>2.重视加强教师思想政治教育工作。学位点</w:t>
      </w:r>
      <w:r>
        <w:rPr>
          <w:rFonts w:hint="eastAsia" w:ascii="仿宋" w:hAnsi="仿宋" w:eastAsia="仿宋"/>
          <w:color w:val="333333"/>
          <w:sz w:val="32"/>
          <w:szCs w:val="32"/>
          <w:shd w:val="clear" w:color="auto" w:fill="FFFFFF"/>
        </w:rPr>
        <w:t>健全教师理论学习制度，定期举办教师思想教育培训班，加强教师思想政治理论常态化学习，用习近平新时代中国特色社会主义思想武装教师头脑，铸造师魂；坚持正确价值导向，将社会主义核心价值观融入教育教学和管理工作的全过程，引导教师带头践行社会主义核心价值观，言传身教，自觉弘扬中华优秀传统文化、革命文化和社会主义先进文化，进而形成共同的价值追求。积极引导和组织教师参加社会实践，在实践中加深对党史国情、形势政策、社情民心的了解，厚植教育情怀，增强教育为民的责任担当；加强教师党建工作，把师德师风建设纳入教师党支部工作的重要内容，</w:t>
      </w:r>
      <w:r>
        <w:rPr>
          <w:rFonts w:hint="eastAsia" w:ascii="仿宋" w:hAnsi="仿宋" w:eastAsia="仿宋" w:cs="仿宋"/>
          <w:sz w:val="32"/>
          <w:szCs w:val="32"/>
        </w:rPr>
        <w:t>通过党委会和支部会理论学习第一议题制度、“三会一课”制度、主题党日活动、纪律教育月活动等，加强党员教师的教育管理工作，发挥好党员教师在师德师风建设中的模范作用（见表4），带动全体教师</w:t>
      </w:r>
      <w:r>
        <w:rPr>
          <w:rFonts w:hint="eastAsia" w:ascii="仿宋" w:hAnsi="仿宋" w:eastAsia="仿宋"/>
          <w:color w:val="333333"/>
          <w:sz w:val="32"/>
          <w:szCs w:val="32"/>
          <w:shd w:val="clear" w:color="auto" w:fill="FFFFFF"/>
        </w:rPr>
        <w:t>践行高尚师德。目前，学位点教师具有良好思想政治素质和职业道德水平，广大教师教师敬业立学、崇德尚美呈现新风貌。</w:t>
      </w:r>
    </w:p>
    <w:p>
      <w:pPr>
        <w:spacing w:line="560" w:lineRule="atLeast"/>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3.着力提升教师的职业道德。组织师德师风教育月活动、教师节活动，通过开展教育思想研讨、评选优秀教师、宣传教师先进典型，推进师德师风文化创建等，营造尊师重教氛围，引导广大教师守好讲台主阵地，将立德树人放在首要位置，融入渗透到教育教学全过程；突出学习《中华人民共和国教师法》、《新时代教师职业行为十项准则》系列文件等为重点，促进教师提高依法执教、规范执教能力，坚守师德底线；加强新入职教师、青年教师的指导，通过老带新、新入职老师轮岗锻炼等机制，发挥传帮带作用，使新教师尽快熟悉教育规律、掌握教育方法，在育人实践中锤炼高尚道德情操。</w:t>
      </w:r>
    </w:p>
    <w:p>
      <w:pPr>
        <w:spacing w:line="560" w:lineRule="atLeast"/>
        <w:jc w:val="center"/>
        <w:rPr>
          <w:rFonts w:ascii="仿宋" w:hAnsi="仿宋" w:eastAsia="仿宋" w:cs="仿宋"/>
          <w:sz w:val="28"/>
          <w:szCs w:val="28"/>
        </w:rPr>
      </w:pPr>
      <w:r>
        <w:rPr>
          <w:rFonts w:hint="eastAsia" w:ascii="仿宋" w:hAnsi="仿宋" w:eastAsia="仿宋" w:cs="仿宋"/>
          <w:b/>
          <w:bCs/>
          <w:sz w:val="32"/>
          <w:szCs w:val="32"/>
        </w:rPr>
        <w:t>表4 2023年学位点师生获表彰情况</w:t>
      </w:r>
    </w:p>
    <w:tbl>
      <w:tblPr>
        <w:tblStyle w:val="6"/>
        <w:tblpPr w:leftFromText="180" w:rightFromText="180" w:vertAnchor="text" w:tblpXSpec="center" w:tblpY="1"/>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
        <w:gridCol w:w="4696"/>
        <w:gridCol w:w="158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86" w:type="dxa"/>
            <w:tcBorders>
              <w:top w:val="single" w:color="auto" w:sz="12" w:space="0"/>
              <w:left w:val="single" w:color="auto" w:sz="12" w:space="0"/>
              <w:bottom w:val="single" w:color="auto" w:sz="6" w:space="0"/>
              <w:right w:val="single" w:color="auto" w:sz="6" w:space="0"/>
            </w:tcBorders>
            <w:shd w:val="clear" w:color="auto" w:fill="DEEBF6" w:themeFill="accent1" w:themeFillTint="32"/>
            <w:vAlign w:val="center"/>
          </w:tcPr>
          <w:p>
            <w:pPr>
              <w:spacing w:line="560" w:lineRule="atLeast"/>
              <w:jc w:val="center"/>
              <w:rPr>
                <w:rFonts w:ascii="仿宋" w:hAnsi="仿宋" w:eastAsia="仿宋" w:cs="仿宋"/>
                <w:b/>
                <w:sz w:val="28"/>
                <w:szCs w:val="28"/>
              </w:rPr>
            </w:pPr>
            <w:r>
              <w:rPr>
                <w:rFonts w:hint="eastAsia" w:ascii="仿宋" w:hAnsi="仿宋" w:eastAsia="仿宋" w:cs="仿宋"/>
                <w:b/>
                <w:sz w:val="28"/>
                <w:szCs w:val="28"/>
              </w:rPr>
              <w:t>序号</w:t>
            </w:r>
          </w:p>
        </w:tc>
        <w:tc>
          <w:tcPr>
            <w:tcW w:w="4696" w:type="dxa"/>
            <w:tcBorders>
              <w:top w:val="single" w:color="auto" w:sz="12" w:space="0"/>
              <w:left w:val="single" w:color="auto" w:sz="6" w:space="0"/>
              <w:bottom w:val="single" w:color="auto" w:sz="6" w:space="0"/>
              <w:right w:val="single" w:color="auto" w:sz="6" w:space="0"/>
            </w:tcBorders>
            <w:shd w:val="clear" w:color="auto" w:fill="DEEBF6" w:themeFill="accent1" w:themeFillTint="32"/>
            <w:vAlign w:val="center"/>
          </w:tcPr>
          <w:p>
            <w:pPr>
              <w:spacing w:line="560" w:lineRule="atLeast"/>
              <w:jc w:val="center"/>
              <w:rPr>
                <w:rFonts w:ascii="仿宋" w:hAnsi="仿宋" w:eastAsia="仿宋" w:cs="仿宋"/>
                <w:b/>
                <w:sz w:val="28"/>
                <w:szCs w:val="28"/>
              </w:rPr>
            </w:pPr>
            <w:r>
              <w:rPr>
                <w:rFonts w:hint="eastAsia" w:ascii="仿宋" w:hAnsi="仿宋" w:eastAsia="仿宋" w:cs="仿宋"/>
                <w:b/>
                <w:sz w:val="28"/>
                <w:szCs w:val="28"/>
              </w:rPr>
              <w:t>成果名称</w:t>
            </w:r>
          </w:p>
        </w:tc>
        <w:tc>
          <w:tcPr>
            <w:tcW w:w="1589" w:type="dxa"/>
            <w:tcBorders>
              <w:top w:val="single" w:color="auto" w:sz="12" w:space="0"/>
              <w:left w:val="single" w:color="auto" w:sz="6" w:space="0"/>
              <w:bottom w:val="single" w:color="auto" w:sz="6" w:space="0"/>
              <w:right w:val="single" w:color="auto" w:sz="6" w:space="0"/>
            </w:tcBorders>
            <w:shd w:val="clear" w:color="auto" w:fill="DEEBF6" w:themeFill="accent1" w:themeFillTint="32"/>
            <w:vAlign w:val="center"/>
          </w:tcPr>
          <w:p>
            <w:pPr>
              <w:spacing w:line="560" w:lineRule="atLeast"/>
              <w:jc w:val="center"/>
              <w:rPr>
                <w:rFonts w:ascii="仿宋" w:hAnsi="仿宋" w:eastAsia="仿宋" w:cs="仿宋"/>
                <w:b/>
                <w:sz w:val="28"/>
                <w:szCs w:val="28"/>
              </w:rPr>
            </w:pPr>
            <w:r>
              <w:rPr>
                <w:rFonts w:hint="eastAsia" w:ascii="仿宋" w:hAnsi="仿宋" w:eastAsia="仿宋" w:cs="仿宋"/>
                <w:b/>
                <w:sz w:val="28"/>
                <w:szCs w:val="28"/>
              </w:rPr>
              <w:t>完成人</w:t>
            </w:r>
          </w:p>
        </w:tc>
        <w:tc>
          <w:tcPr>
            <w:tcW w:w="1416" w:type="dxa"/>
            <w:tcBorders>
              <w:top w:val="single" w:color="auto" w:sz="12" w:space="0"/>
              <w:left w:val="single" w:color="auto" w:sz="6" w:space="0"/>
              <w:bottom w:val="single" w:color="auto" w:sz="6" w:space="0"/>
              <w:right w:val="single" w:color="auto" w:sz="6" w:space="0"/>
            </w:tcBorders>
            <w:shd w:val="clear" w:color="auto" w:fill="DEEBF6" w:themeFill="accent1" w:themeFillTint="32"/>
            <w:vAlign w:val="center"/>
          </w:tcPr>
          <w:p>
            <w:pPr>
              <w:spacing w:line="560" w:lineRule="atLeast"/>
              <w:ind w:right="40"/>
              <w:jc w:val="center"/>
              <w:rPr>
                <w:rFonts w:ascii="仿宋" w:hAnsi="仿宋" w:eastAsia="仿宋" w:cs="仿宋"/>
                <w:b/>
                <w:sz w:val="28"/>
                <w:szCs w:val="28"/>
              </w:rPr>
            </w:pPr>
            <w:r>
              <w:rPr>
                <w:rFonts w:hint="eastAsia" w:ascii="仿宋" w:hAnsi="仿宋" w:eastAsia="仿宋" w:cs="仿宋"/>
                <w:b/>
                <w:sz w:val="28"/>
                <w:szCs w:val="28"/>
              </w:rPr>
              <w:t>获奖时间（年）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国家奖学金</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莫发胤</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广东药科大学研究生教学成果奖：护理专业硕士研究生校院“双导师制”培养模式的构建与成效</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蓝宇涛</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广东药科大学学术之星</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莫发胤</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广东省医药院校教师教学创新大赛一等奖</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梁文丽</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第八届中华护理学会科技奖：身体活动信念变量路径与运动干预临床效果的研究</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蓝宇涛、蔡舒</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广东省护理学会科技奖二等奖：身体活动信念变量路径与运动干预临床效果的研究</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蓝宇涛、蔡舒</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F5000</w:t>
            </w:r>
            <w:r>
              <w:rPr>
                <w:rFonts w:hint="eastAsia" w:ascii="仿宋" w:hAnsi="仿宋" w:eastAsia="仿宋" w:cs="仿宋"/>
                <w:color w:val="000000" w:themeColor="text1"/>
                <w:sz w:val="24"/>
                <w14:textFill>
                  <w14:solidFill>
                    <w14:schemeClr w14:val="tx1"/>
                  </w14:solidFill>
                </w14:textFill>
              </w:rPr>
              <w:t>中国精品科技期刊顶尖学术论文:冠心病患者</w:t>
            </w:r>
            <w:r>
              <w:rPr>
                <w:rFonts w:ascii="仿宋" w:hAnsi="仿宋" w:eastAsia="仿宋" w:cs="仿宋"/>
                <w:color w:val="000000" w:themeColor="text1"/>
                <w:sz w:val="24"/>
                <w14:textFill>
                  <w14:solidFill>
                    <w14:schemeClr w14:val="tx1"/>
                  </w14:solidFill>
                </w14:textFill>
              </w:rPr>
              <w:t>PCI</w:t>
            </w:r>
            <w:r>
              <w:rPr>
                <w:rFonts w:hint="eastAsia" w:ascii="仿宋" w:hAnsi="仿宋" w:eastAsia="仿宋" w:cs="仿宋"/>
                <w:color w:val="000000" w:themeColor="text1"/>
                <w:sz w:val="24"/>
                <w14:textFill>
                  <w14:solidFill>
                    <w14:schemeClr w14:val="tx1"/>
                  </w14:solidFill>
                </w14:textFill>
              </w:rPr>
              <w:t>术后全因死亡率、再入院率及其影响因素</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赖敏华（学）、李静芝</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中国老年慢病大会征文“三等奖”:基于社会生态系统理论的老年脑卒中患者社会网络及其影响因素研究</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周嘉慧（学），王瑞</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全国首届高校劳动教育示范案例：以劳动教育为基，绽生命教育之彩——基础生命支持</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罗翱翔</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广东药科大学先进基层党组织</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护理学院党委</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广东药科大学先进基层党组织</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护理学院研究生党支部</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202</w:t>
            </w:r>
            <w:r>
              <w:rPr>
                <w:rFonts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86" w:type="dxa"/>
            <w:tcBorders>
              <w:top w:val="single" w:color="auto" w:sz="6" w:space="0"/>
              <w:left w:val="single" w:color="auto" w:sz="12"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469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首届全国大学生职业规划大赛广东药科大学校赛</w:t>
            </w:r>
            <w:r>
              <w:rPr>
                <w:rFonts w:ascii="仿宋" w:hAnsi="仿宋" w:eastAsia="仿宋" w:cs="仿宋"/>
                <w:color w:val="000000" w:themeColor="text1"/>
                <w:sz w:val="24"/>
                <w14:textFill>
                  <w14:solidFill>
                    <w14:schemeClr w14:val="tx1"/>
                  </w14:solidFill>
                </w14:textFill>
              </w:rPr>
              <w:t>三等奖</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吴澳（学）</w:t>
            </w:r>
          </w:p>
        </w:tc>
        <w:tc>
          <w:tcPr>
            <w:tcW w:w="1416" w:type="dxa"/>
            <w:tcBorders>
              <w:top w:val="single" w:color="auto" w:sz="6" w:space="0"/>
              <w:left w:val="single" w:color="auto" w:sz="6" w:space="0"/>
              <w:bottom w:val="single" w:color="auto" w:sz="6" w:space="0"/>
              <w:right w:val="single" w:color="auto" w:sz="6" w:space="0"/>
            </w:tcBorders>
            <w:vAlign w:val="center"/>
          </w:tcPr>
          <w:p>
            <w:pPr>
              <w:spacing w:line="56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023</w:t>
            </w:r>
          </w:p>
        </w:tc>
      </w:tr>
    </w:tbl>
    <w:p>
      <w:pPr>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olor w:val="333333"/>
          <w:sz w:val="32"/>
          <w:szCs w:val="32"/>
          <w:shd w:val="clear" w:color="auto" w:fill="FFFFFF"/>
        </w:rPr>
        <w:t>加强师德监督，严格违规惩处，治理师德突出问题。</w:t>
      </w:r>
      <w:r>
        <w:rPr>
          <w:rFonts w:hint="eastAsia" w:ascii="仿宋" w:hAnsi="仿宋" w:eastAsia="仿宋" w:cs="仿宋"/>
          <w:sz w:val="32"/>
          <w:szCs w:val="32"/>
        </w:rPr>
        <w:t>学位点严格执行《广东药科大学教师职业行为负面清单和师德失范行为处理办法》、《广东药科大学学术道德规范及违规处理办法》等相关制度，健全多元监督体系，加强新进教师的政治把关和师德考察，</w:t>
      </w:r>
      <w:r>
        <w:rPr>
          <w:rFonts w:hint="eastAsia" w:ascii="仿宋" w:hAnsi="仿宋" w:eastAsia="仿宋"/>
          <w:bCs/>
          <w:color w:val="333333"/>
          <w:sz w:val="32"/>
          <w:szCs w:val="32"/>
          <w:shd w:val="clear" w:color="auto" w:fill="FFFFFF"/>
        </w:rPr>
        <w:t>将师德师风建设要求贯穿教师管理全过程，</w:t>
      </w:r>
      <w:r>
        <w:rPr>
          <w:rFonts w:hint="eastAsia" w:ascii="仿宋" w:hAnsi="仿宋" w:eastAsia="仿宋" w:cs="仿宋"/>
          <w:sz w:val="32"/>
          <w:szCs w:val="32"/>
        </w:rPr>
        <w:t>明确把思想政治与师德师风情况作为教师考核、晋升、人才计划申报、评奖评优等的首要标准，执行师德“一票否决制”。对有师德失范行为的教师及时约谈、上报并处理，危害严重、影响恶劣的，坚决清除出教师队伍。执行师德师风问责制，出现严重违反师德行为造成不良影响或严重后果的，依法依规追究主要负责人的责任。2022年学位点没有违反师德师风规定的事件发生。</w:t>
      </w:r>
    </w:p>
    <w:p>
      <w:pPr>
        <w:rPr>
          <w:rFonts w:ascii="仿宋" w:hAnsi="仿宋" w:eastAsia="仿宋" w:cs="仿宋"/>
          <w:color w:val="000000"/>
          <w:kern w:val="0"/>
          <w:sz w:val="32"/>
          <w:szCs w:val="32"/>
        </w:rPr>
      </w:pPr>
      <w:r>
        <w:rPr>
          <w:rFonts w:hint="eastAsia" w:ascii="楷体" w:hAnsi="楷体" w:eastAsia="楷体" w:cs="楷体"/>
          <w:bCs/>
          <w:sz w:val="32"/>
          <w:szCs w:val="32"/>
        </w:rPr>
        <w:t xml:space="preserve">   （四）</w:t>
      </w:r>
      <w:r>
        <w:rPr>
          <w:rFonts w:hint="eastAsia" w:ascii="楷体" w:hAnsi="楷体" w:eastAsia="楷体" w:cs="楷体"/>
          <w:b/>
          <w:sz w:val="32"/>
          <w:szCs w:val="32"/>
        </w:rPr>
        <w:t>学术训练和学术交流情况</w:t>
      </w:r>
    </w:p>
    <w:p>
      <w:pPr>
        <w:spacing w:line="56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为加强学术诚信、科学道德和学术规范教育，进行科研育人。在完成科研方法课程学习后进行学术训练，形式包括参加学术讲座或研讨会、学术会议、进行会议交流等。要求学生在读期间参加国内外学术报告或专题讲座至少12次。</w:t>
      </w:r>
    </w:p>
    <w:p>
      <w:pPr>
        <w:widowControl/>
        <w:spacing w:line="560" w:lineRule="atLeast"/>
        <w:ind w:firstLine="640" w:firstLineChars="200"/>
        <w:jc w:val="left"/>
        <w:rPr>
          <w:rFonts w:ascii="仿宋" w:hAnsi="仿宋" w:eastAsia="仿宋" w:cs="仿宋"/>
          <w:sz w:val="32"/>
          <w:szCs w:val="32"/>
        </w:rPr>
      </w:pPr>
      <w:r>
        <w:rPr>
          <w:rFonts w:hint="eastAsia" w:ascii="仿宋" w:hAnsi="仿宋" w:eastAsia="仿宋" w:cs="仿宋"/>
          <w:bCs/>
          <w:kern w:val="0"/>
          <w:sz w:val="32"/>
          <w:szCs w:val="32"/>
        </w:rPr>
        <w:t>学位点基于“护理研究与循证护理”课程平台，邀请国内外知名专家教授为研究生做精彩学术报告；同时利用学校学术活动大平台定期组织研究生参加国内外知名临床专家和院士的专题报告和讲座。</w:t>
      </w:r>
      <w:r>
        <w:rPr>
          <w:rFonts w:hint="eastAsia" w:ascii="仿宋" w:hAnsi="仿宋" w:eastAsia="仿宋" w:cs="仿宋"/>
          <w:sz w:val="32"/>
          <w:szCs w:val="32"/>
        </w:rPr>
        <w:t>引导学生深度参与学术会议交流，在国内外学术会议进行陈述发言、案例汇报等形式多样的学术活动。</w:t>
      </w:r>
    </w:p>
    <w:p>
      <w:pPr>
        <w:widowControl/>
        <w:spacing w:line="560" w:lineRule="atLeas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202</w:t>
      </w:r>
      <w:r>
        <w:rPr>
          <w:rFonts w:ascii="仿宋" w:hAnsi="仿宋" w:eastAsia="仿宋" w:cs="仿宋"/>
          <w:bCs/>
          <w:kern w:val="0"/>
          <w:sz w:val="32"/>
          <w:szCs w:val="32"/>
        </w:rPr>
        <w:t>3</w:t>
      </w:r>
      <w:r>
        <w:rPr>
          <w:rFonts w:hint="eastAsia" w:ascii="仿宋" w:hAnsi="仿宋" w:eastAsia="仿宋" w:cs="仿宋"/>
          <w:bCs/>
          <w:kern w:val="0"/>
          <w:sz w:val="32"/>
          <w:szCs w:val="32"/>
        </w:rPr>
        <w:t>年学位点发表论文24篇，其中北大核心论文1</w:t>
      </w:r>
      <w:r>
        <w:rPr>
          <w:rFonts w:ascii="仿宋" w:hAnsi="仿宋" w:eastAsia="仿宋" w:cs="仿宋"/>
          <w:bCs/>
          <w:kern w:val="0"/>
          <w:sz w:val="32"/>
          <w:szCs w:val="32"/>
        </w:rPr>
        <w:t>1</w:t>
      </w:r>
      <w:r>
        <w:rPr>
          <w:rFonts w:hint="eastAsia" w:ascii="仿宋" w:hAnsi="仿宋" w:eastAsia="仿宋" w:cs="仿宋"/>
          <w:bCs/>
          <w:kern w:val="0"/>
          <w:sz w:val="32"/>
          <w:szCs w:val="32"/>
        </w:rPr>
        <w:t>篇，SCI收录</w:t>
      </w:r>
      <w:r>
        <w:rPr>
          <w:rFonts w:ascii="仿宋" w:hAnsi="仿宋" w:eastAsia="仿宋" w:cs="仿宋"/>
          <w:bCs/>
          <w:kern w:val="0"/>
          <w:sz w:val="32"/>
          <w:szCs w:val="32"/>
        </w:rPr>
        <w:t>9</w:t>
      </w:r>
      <w:r>
        <w:rPr>
          <w:rFonts w:hint="eastAsia" w:ascii="仿宋" w:hAnsi="仿宋" w:eastAsia="仿宋" w:cs="仿宋"/>
          <w:bCs/>
          <w:kern w:val="0"/>
          <w:sz w:val="32"/>
          <w:szCs w:val="32"/>
        </w:rPr>
        <w:t>篇（见图3），获授权专利</w:t>
      </w:r>
      <w:r>
        <w:rPr>
          <w:rFonts w:hint="eastAsia" w:ascii="仿宋" w:hAnsi="仿宋" w:eastAsia="仿宋" w:cs="仿宋"/>
          <w:bCs/>
          <w:kern w:val="0"/>
          <w:sz w:val="32"/>
          <w:szCs w:val="32"/>
          <w:lang w:val="en-US" w:eastAsia="zh-CN"/>
        </w:rPr>
        <w:t>17</w:t>
      </w:r>
      <w:r>
        <w:rPr>
          <w:rFonts w:hint="eastAsia" w:ascii="仿宋" w:hAnsi="仿宋" w:eastAsia="仿宋" w:cs="仿宋"/>
          <w:bCs/>
          <w:kern w:val="0"/>
          <w:sz w:val="32"/>
          <w:szCs w:val="32"/>
        </w:rPr>
        <w:t>项</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其中发明专利1项，</w:t>
      </w:r>
      <w:r>
        <w:rPr>
          <w:rFonts w:hint="eastAsia" w:ascii="仿宋" w:hAnsi="仿宋" w:eastAsia="仿宋" w:cs="仿宋"/>
          <w:color w:val="auto"/>
          <w:sz w:val="32"/>
          <w:szCs w:val="32"/>
        </w:rPr>
        <w:t>软件开发著作权</w:t>
      </w:r>
      <w:r>
        <w:rPr>
          <w:rFonts w:hint="eastAsia" w:ascii="仿宋" w:hAnsi="仿宋" w:eastAsia="仿宋" w:cs="仿宋"/>
          <w:bCs/>
          <w:kern w:val="0"/>
          <w:sz w:val="32"/>
          <w:szCs w:val="32"/>
          <w:lang w:val="en-US" w:eastAsia="zh-CN"/>
        </w:rPr>
        <w:t>1项，实用新型专利15项</w:t>
      </w:r>
      <w:r>
        <w:rPr>
          <w:rFonts w:hint="eastAsia" w:ascii="仿宋" w:hAnsi="仿宋" w:eastAsia="仿宋" w:cs="仿宋"/>
          <w:bCs/>
          <w:kern w:val="0"/>
          <w:sz w:val="32"/>
          <w:szCs w:val="32"/>
        </w:rPr>
        <w:t>（见表5）。</w:t>
      </w:r>
    </w:p>
    <w:p>
      <w:pPr>
        <w:widowControl/>
        <w:spacing w:line="560" w:lineRule="atLeast"/>
        <w:ind w:firstLine="420" w:firstLineChars="200"/>
        <w:jc w:val="left"/>
        <w:rPr>
          <w:rFonts w:ascii="仿宋" w:hAnsi="仿宋" w:eastAsia="仿宋" w:cs="仿宋"/>
          <w:bCs/>
          <w:color w:val="000000" w:themeColor="text1"/>
          <w:kern w:val="0"/>
          <w:sz w:val="32"/>
          <w:szCs w:val="32"/>
          <w14:textFill>
            <w14:solidFill>
              <w14:schemeClr w14:val="tx1"/>
            </w14:solidFill>
          </w14:textFill>
        </w:rPr>
      </w:pPr>
      <w:r>
        <w:drawing>
          <wp:inline distT="0" distB="0" distL="0" distR="0">
            <wp:extent cx="5207000" cy="2334260"/>
            <wp:effectExtent l="0" t="0" r="0" b="0"/>
            <wp:docPr id="11718506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60" w:lineRule="atLeast"/>
        <w:jc w:val="center"/>
        <w:rPr>
          <w:rFonts w:ascii="仿宋" w:hAnsi="仿宋" w:eastAsia="仿宋" w:cs="仿宋"/>
          <w:color w:val="000000"/>
          <w:kern w:val="0"/>
          <w:sz w:val="32"/>
          <w:szCs w:val="32"/>
          <w:lang w:bidi="ar"/>
        </w:rPr>
      </w:pPr>
      <w:r>
        <w:rPr>
          <w:rFonts w:ascii="仿宋" w:hAnsi="仿宋" w:eastAsia="仿宋" w:cs="仿宋"/>
          <w:b/>
          <w:color w:val="000000" w:themeColor="text1"/>
          <w:kern w:val="0"/>
          <w:sz w:val="32"/>
          <w:szCs w:val="32"/>
          <w14:textFill>
            <w14:solidFill>
              <w14:schemeClr w14:val="tx1"/>
            </w14:solidFill>
          </w14:textFill>
        </w:rPr>
        <w:t xml:space="preserve">  </w:t>
      </w:r>
      <w:r>
        <w:rPr>
          <w:rFonts w:hint="eastAsia" w:ascii="仿宋" w:hAnsi="仿宋" w:eastAsia="仿宋" w:cs="仿宋"/>
          <w:color w:val="000000"/>
          <w:kern w:val="0"/>
          <w:sz w:val="32"/>
          <w:szCs w:val="32"/>
          <w:lang w:bidi="ar"/>
        </w:rPr>
        <w:t>图3</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 xml:space="preserve"> 202</w:t>
      </w:r>
      <w:r>
        <w:rPr>
          <w:rFonts w:ascii="仿宋" w:hAnsi="仿宋" w:eastAsia="仿宋" w:cs="仿宋"/>
          <w:color w:val="000000"/>
          <w:kern w:val="0"/>
          <w:sz w:val="32"/>
          <w:szCs w:val="32"/>
          <w:lang w:bidi="ar"/>
        </w:rPr>
        <w:t>3</w:t>
      </w:r>
      <w:r>
        <w:rPr>
          <w:rFonts w:hint="eastAsia" w:ascii="仿宋" w:hAnsi="仿宋" w:eastAsia="仿宋" w:cs="仿宋"/>
          <w:color w:val="000000"/>
          <w:kern w:val="0"/>
          <w:sz w:val="32"/>
          <w:szCs w:val="32"/>
          <w:lang w:bidi="ar"/>
        </w:rPr>
        <w:t>年学生发表论文情况</w:t>
      </w:r>
    </w:p>
    <w:p>
      <w:pPr>
        <w:spacing w:line="560" w:lineRule="atLeast"/>
        <w:jc w:val="center"/>
        <w:rPr>
          <w:rFonts w:ascii="仿宋" w:hAnsi="仿宋" w:eastAsia="仿宋" w:cs="仿宋"/>
          <w:sz w:val="32"/>
          <w:szCs w:val="32"/>
        </w:rPr>
      </w:pPr>
      <w:r>
        <w:rPr>
          <w:rFonts w:hint="eastAsia" w:ascii="仿宋" w:hAnsi="仿宋" w:eastAsia="仿宋" w:cs="仿宋"/>
          <w:b/>
          <w:color w:val="000000" w:themeColor="text1"/>
          <w:kern w:val="0"/>
          <w:sz w:val="32"/>
          <w:szCs w:val="32"/>
          <w14:textFill>
            <w14:solidFill>
              <w14:schemeClr w14:val="tx1"/>
            </w14:solidFill>
          </w14:textFill>
        </w:rPr>
        <w:t xml:space="preserve"> </w:t>
      </w:r>
    </w:p>
    <w:p>
      <w:pPr>
        <w:spacing w:line="560" w:lineRule="atLeast"/>
        <w:jc w:val="center"/>
        <w:rPr>
          <w:rFonts w:hint="eastAsia" w:ascii="仿宋" w:hAnsi="仿宋" w:eastAsia="仿宋" w:cs="仿宋"/>
          <w:b/>
          <w:bCs/>
          <w:kern w:val="0"/>
          <w:sz w:val="32"/>
          <w:szCs w:val="32"/>
          <w:lang w:bidi="ar"/>
        </w:rPr>
      </w:pPr>
    </w:p>
    <w:p>
      <w:pPr>
        <w:spacing w:line="560" w:lineRule="atLeast"/>
        <w:jc w:val="center"/>
        <w:rPr>
          <w:rFonts w:hint="eastAsia" w:ascii="仿宋" w:hAnsi="仿宋" w:eastAsia="仿宋" w:cs="仿宋"/>
          <w:b/>
          <w:bCs/>
          <w:kern w:val="0"/>
          <w:sz w:val="32"/>
          <w:szCs w:val="32"/>
          <w:lang w:bidi="ar"/>
        </w:rPr>
      </w:pPr>
    </w:p>
    <w:p>
      <w:pPr>
        <w:spacing w:line="560" w:lineRule="atLeast"/>
        <w:jc w:val="center"/>
        <w:rPr>
          <w:rFonts w:hint="eastAsia" w:ascii="仿宋" w:hAnsi="仿宋" w:eastAsia="仿宋" w:cs="仿宋"/>
          <w:b/>
          <w:bCs/>
          <w:kern w:val="0"/>
          <w:sz w:val="32"/>
          <w:szCs w:val="32"/>
          <w:lang w:bidi="ar"/>
        </w:rPr>
      </w:pPr>
    </w:p>
    <w:p>
      <w:pPr>
        <w:spacing w:line="560" w:lineRule="atLeast"/>
        <w:jc w:val="center"/>
        <w:rPr>
          <w:rFonts w:ascii="仿宋" w:hAnsi="仿宋" w:eastAsia="仿宋" w:cs="仿宋"/>
          <w:kern w:val="0"/>
          <w:sz w:val="32"/>
          <w:szCs w:val="32"/>
          <w:lang w:bidi="ar"/>
        </w:rPr>
      </w:pPr>
      <w:r>
        <w:rPr>
          <w:rFonts w:hint="eastAsia" w:ascii="仿宋" w:hAnsi="仿宋" w:eastAsia="仿宋" w:cs="仿宋"/>
          <w:b/>
          <w:bCs/>
          <w:kern w:val="0"/>
          <w:sz w:val="32"/>
          <w:szCs w:val="32"/>
          <w:lang w:bidi="ar"/>
        </w:rPr>
        <w:t>表5  202</w:t>
      </w:r>
      <w:r>
        <w:rPr>
          <w:rFonts w:ascii="仿宋" w:hAnsi="仿宋" w:eastAsia="仿宋" w:cs="仿宋"/>
          <w:b/>
          <w:bCs/>
          <w:kern w:val="0"/>
          <w:sz w:val="32"/>
          <w:szCs w:val="32"/>
          <w:lang w:bidi="ar"/>
        </w:rPr>
        <w:t xml:space="preserve">3 </w:t>
      </w:r>
      <w:r>
        <w:rPr>
          <w:rFonts w:hint="eastAsia" w:ascii="仿宋" w:hAnsi="仿宋" w:eastAsia="仿宋" w:cs="仿宋"/>
          <w:b/>
          <w:bCs/>
          <w:kern w:val="0"/>
          <w:sz w:val="32"/>
          <w:szCs w:val="32"/>
          <w:lang w:bidi="ar"/>
        </w:rPr>
        <w:t>年护理专业硕士研究生专利申请／授权情况</w:t>
      </w:r>
    </w:p>
    <w:tbl>
      <w:tblPr>
        <w:tblStyle w:val="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84"/>
        <w:gridCol w:w="239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EEBF6" w:themeFill="accent1" w:themeFillTint="32"/>
          </w:tcPr>
          <w:p>
            <w:pPr>
              <w:spacing w:line="560" w:lineRule="atLeast"/>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序号</w:t>
            </w:r>
          </w:p>
        </w:tc>
        <w:tc>
          <w:tcPr>
            <w:tcW w:w="3984" w:type="dxa"/>
            <w:shd w:val="clear" w:color="auto" w:fill="DEEBF6" w:themeFill="accent1" w:themeFillTint="32"/>
          </w:tcPr>
          <w:p>
            <w:pPr>
              <w:spacing w:line="560" w:lineRule="atLeast"/>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专利名称</w:t>
            </w:r>
          </w:p>
        </w:tc>
        <w:tc>
          <w:tcPr>
            <w:tcW w:w="2395" w:type="dxa"/>
            <w:shd w:val="clear" w:color="auto" w:fill="DEEBF6" w:themeFill="accent1" w:themeFillTint="32"/>
          </w:tcPr>
          <w:p>
            <w:pPr>
              <w:spacing w:line="560" w:lineRule="atLeast"/>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公开号／授权号</w:t>
            </w:r>
          </w:p>
        </w:tc>
        <w:tc>
          <w:tcPr>
            <w:tcW w:w="2410" w:type="dxa"/>
            <w:shd w:val="clear" w:color="auto" w:fill="DEEBF6" w:themeFill="accent1" w:themeFillTint="32"/>
          </w:tcPr>
          <w:p>
            <w:pPr>
              <w:spacing w:line="560" w:lineRule="atLeast"/>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一种盆底肌锻炼器</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ZL202321035777 .2</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旷焱平;刘振业</w:t>
            </w:r>
            <w:r>
              <w:rPr>
                <w:rFonts w:hint="eastAsia" w:ascii="仿宋" w:hAnsi="仿宋" w:eastAsia="仿宋" w:cs="仿宋"/>
                <w:color w:val="000000" w:themeColor="text1"/>
                <w:kern w:val="0"/>
                <w:sz w:val="24"/>
                <w14:textFill>
                  <w14:solidFill>
                    <w14:schemeClr w14:val="tx1"/>
                  </w14:solidFill>
                </w14:textFill>
              </w:rPr>
              <w:t>(学</w:t>
            </w:r>
            <w:r>
              <w:rPr>
                <w:rFonts w:ascii="仿宋" w:hAnsi="仿宋" w:eastAsia="仿宋" w:cs="仿宋"/>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一种恒温护理垫</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ZL202320702260.8</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旷焱平;周玉滢</w:t>
            </w:r>
            <w:r>
              <w:rPr>
                <w:rFonts w:hint="eastAsia" w:ascii="仿宋" w:hAnsi="仿宋" w:eastAsia="仿宋" w:cs="仿宋"/>
                <w:color w:val="000000" w:themeColor="text1"/>
                <w:kern w:val="0"/>
                <w:sz w:val="24"/>
                <w14:textFill>
                  <w14:solidFill>
                    <w14:schemeClr w14:val="tx1"/>
                  </w14:solidFill>
                </w14:textFill>
              </w:rPr>
              <w:t>(学</w:t>
            </w:r>
            <w:r>
              <w:rPr>
                <w:rFonts w:ascii="仿宋" w:hAnsi="仿宋" w:eastAsia="仿宋" w:cs="仿宋"/>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一种改良型小鼠防咬手套</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ZL202320205172.7</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周玉滢（学）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一种尿标本采集器</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ZL202321011157.5</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陈伟强;吕富璐</w:t>
            </w:r>
            <w:r>
              <w:rPr>
                <w:rFonts w:hint="eastAsia" w:ascii="仿宋" w:hAnsi="仿宋" w:eastAsia="仿宋" w:cs="仿宋"/>
                <w:color w:val="000000" w:themeColor="text1"/>
                <w:kern w:val="0"/>
                <w:sz w:val="24"/>
                <w14:textFill>
                  <w14:solidFill>
                    <w14:schemeClr w14:val="tx1"/>
                  </w14:solidFill>
                </w14:textFill>
              </w:rPr>
              <w:t>(学</w:t>
            </w:r>
            <w:r>
              <w:rPr>
                <w:rFonts w:ascii="仿宋" w:hAnsi="仿宋" w:eastAsia="仿宋" w:cs="仿宋"/>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广药健康管理-家庭BP云管理软件V1.0</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2023SR0571328</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郑晶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一体式产妇护腰哺乳椅</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ZL202320305421.X</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梁文丽；黄凤莲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多输液管固定器</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ZL202321264227.8</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王瑞;陈映彤(学)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黑玉米多糖在制备预防或治疗老年性骨质疏松症的药物中的应用</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CN202311106630.2</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刘冰(学);由天辉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一种热习服训练舱</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ZL202321153148.X</w:t>
            </w:r>
          </w:p>
        </w:tc>
        <w:tc>
          <w:tcPr>
            <w:tcW w:w="2410" w:type="dxa"/>
            <w:shd w:val="clear" w:color="auto" w:fill="FFFFFF" w:themeFill="background1"/>
            <w:vAlign w:val="center"/>
          </w:tcPr>
          <w:p>
            <w:pPr>
              <w:spacing w:line="560" w:lineRule="atLeast"/>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李晖凤(学</w:t>
            </w:r>
            <w:r>
              <w:rPr>
                <w:rFonts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黎蔚华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0</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一种伤口防护装置</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ZL202320320878.8</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吴小堃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1</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一种气垫床</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ZL202321711283.1</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李青（学）；李静芝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2</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脑卒中居家康复</w:t>
            </w:r>
            <w:r>
              <w:rPr>
                <w:rFonts w:hint="eastAsia" w:ascii="仿宋" w:hAnsi="仿宋" w:eastAsia="仿宋" w:cs="仿宋"/>
                <w:color w:val="000000" w:themeColor="text1"/>
                <w:kern w:val="0"/>
                <w:sz w:val="24"/>
                <w14:textFill>
                  <w14:solidFill>
                    <w14:schemeClr w14:val="tx1"/>
                  </w14:solidFill>
                </w14:textFill>
              </w:rPr>
              <w:t>包</w:t>
            </w:r>
          </w:p>
        </w:tc>
        <w:tc>
          <w:tcPr>
            <w:tcW w:w="2395"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ZL202320190979.8</w:t>
            </w:r>
          </w:p>
        </w:tc>
        <w:tc>
          <w:tcPr>
            <w:tcW w:w="2410" w:type="dxa"/>
            <w:shd w:val="clear" w:color="auto" w:fill="FFFFFF" w:themeFill="background1"/>
            <w:vAlign w:val="center"/>
          </w:tcPr>
          <w:p>
            <w:pPr>
              <w:widowControl/>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徐文娟</w:t>
            </w:r>
            <w:r>
              <w:rPr>
                <w:rFonts w:hint="eastAsia" w:ascii="仿宋" w:hAnsi="仿宋" w:eastAsia="仿宋" w:cs="仿宋"/>
                <w:color w:val="000000" w:themeColor="text1"/>
                <w:kern w:val="0"/>
                <w:sz w:val="24"/>
                <w14:textFill>
                  <w14:solidFill>
                    <w14:schemeClr w14:val="tx1"/>
                  </w14:solidFill>
                </w14:textFill>
              </w:rPr>
              <w:t>(学)；</w:t>
            </w:r>
            <w:r>
              <w:rPr>
                <w:rFonts w:ascii="仿宋" w:hAnsi="仿宋" w:eastAsia="仿宋" w:cs="仿宋"/>
                <w:color w:val="000000" w:themeColor="text1"/>
                <w:kern w:val="0"/>
                <w:sz w:val="24"/>
                <w14:textFill>
                  <w14:solidFill>
                    <w14:schemeClr w14:val="tx1"/>
                  </w14:solidFill>
                </w14:textFill>
              </w:rPr>
              <w:t>谢红珍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3</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一种康复锻炼手套</w:t>
            </w:r>
          </w:p>
        </w:tc>
        <w:tc>
          <w:tcPr>
            <w:tcW w:w="2395" w:type="dxa"/>
            <w:shd w:val="clear" w:color="auto" w:fill="FFFFFF" w:themeFill="background1"/>
            <w:vAlign w:val="center"/>
          </w:tcPr>
          <w:p>
            <w:pPr>
              <w:widowControl/>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ZL202321654649.1</w:t>
            </w:r>
          </w:p>
        </w:tc>
        <w:tc>
          <w:tcPr>
            <w:tcW w:w="2410" w:type="dxa"/>
            <w:shd w:val="clear" w:color="auto" w:fill="FFFFFF" w:themeFill="background1"/>
            <w:vAlign w:val="center"/>
          </w:tcPr>
          <w:p>
            <w:pPr>
              <w:widowControl/>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徐文娟</w:t>
            </w:r>
            <w:r>
              <w:rPr>
                <w:rFonts w:hint="eastAsia" w:ascii="仿宋" w:hAnsi="仿宋" w:eastAsia="仿宋" w:cs="仿宋"/>
                <w:color w:val="000000" w:themeColor="text1"/>
                <w:kern w:val="0"/>
                <w:sz w:val="24"/>
                <w14:textFill>
                  <w14:solidFill>
                    <w14:schemeClr w14:val="tx1"/>
                  </w14:solidFill>
                </w14:textFill>
              </w:rPr>
              <w:t>(学);</w:t>
            </w:r>
            <w:r>
              <w:rPr>
                <w:rFonts w:ascii="仿宋" w:hAnsi="仿宋" w:eastAsia="仿宋" w:cs="仿宋"/>
                <w:color w:val="000000" w:themeColor="text1"/>
                <w:kern w:val="0"/>
                <w:sz w:val="24"/>
                <w14:textFill>
                  <w14:solidFill>
                    <w14:schemeClr w14:val="tx1"/>
                  </w14:solidFill>
                </w14:textFill>
              </w:rPr>
              <w:t>谢红珍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4</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医疗垃圾收集装备</w:t>
            </w:r>
          </w:p>
        </w:tc>
        <w:tc>
          <w:tcPr>
            <w:tcW w:w="2395" w:type="dxa"/>
            <w:shd w:val="clear" w:color="auto" w:fill="FFFFFF" w:themeFill="background1"/>
            <w:vAlign w:val="center"/>
          </w:tcPr>
          <w:p>
            <w:pPr>
              <w:widowControl/>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ZL202320179022.3</w:t>
            </w:r>
          </w:p>
        </w:tc>
        <w:tc>
          <w:tcPr>
            <w:tcW w:w="2410" w:type="dxa"/>
            <w:shd w:val="clear" w:color="auto" w:fill="FFFFFF" w:themeFill="background1"/>
            <w:vAlign w:val="center"/>
          </w:tcPr>
          <w:p>
            <w:pPr>
              <w:widowControl/>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杨雯</w:t>
            </w:r>
            <w:r>
              <w:rPr>
                <w:rFonts w:hint="eastAsia" w:ascii="仿宋" w:hAnsi="仿宋" w:eastAsia="仿宋" w:cs="仿宋"/>
                <w:color w:val="000000" w:themeColor="text1"/>
                <w:kern w:val="0"/>
                <w:sz w:val="24"/>
                <w14:textFill>
                  <w14:solidFill>
                    <w14:schemeClr w14:val="tx1"/>
                  </w14:solidFill>
                </w14:textFill>
              </w:rPr>
              <w:t>(学);</w:t>
            </w:r>
            <w:r>
              <w:rPr>
                <w:rFonts w:ascii="仿宋" w:hAnsi="仿宋" w:eastAsia="仿宋" w:cs="仿宋"/>
                <w:color w:val="000000" w:themeColor="text1"/>
                <w:kern w:val="0"/>
                <w:sz w:val="24"/>
                <w14:textFill>
                  <w14:solidFill>
                    <w14:schemeClr w14:val="tx1"/>
                  </w14:solidFill>
                </w14:textFill>
              </w:rPr>
              <w:t>徐开寿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5</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一种设有支撑翻转结构的转运架</w:t>
            </w:r>
          </w:p>
        </w:tc>
        <w:tc>
          <w:tcPr>
            <w:tcW w:w="2395" w:type="dxa"/>
            <w:shd w:val="clear" w:color="auto" w:fill="FFFFFF" w:themeFill="background1"/>
            <w:vAlign w:val="center"/>
          </w:tcPr>
          <w:p>
            <w:pPr>
              <w:widowControl/>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ZL</w:t>
            </w:r>
            <w:r>
              <w:rPr>
                <w:rFonts w:ascii="仿宋" w:hAnsi="仿宋" w:eastAsia="仿宋" w:cs="仿宋"/>
                <w:color w:val="000000" w:themeColor="text1"/>
                <w:kern w:val="0"/>
                <w:sz w:val="24"/>
                <w14:textFill>
                  <w14:solidFill>
                    <w14:schemeClr w14:val="tx1"/>
                  </w14:solidFill>
                </w14:textFill>
              </w:rPr>
              <w:t>202320606368.7</w:t>
            </w:r>
          </w:p>
        </w:tc>
        <w:tc>
          <w:tcPr>
            <w:tcW w:w="2410" w:type="dxa"/>
            <w:shd w:val="clear" w:color="auto" w:fill="FFFFFF" w:themeFill="background1"/>
            <w:vAlign w:val="center"/>
          </w:tcPr>
          <w:p>
            <w:pPr>
              <w:widowControl/>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 xml:space="preserve">王婉儿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6</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多输液管固定器</w:t>
            </w:r>
          </w:p>
        </w:tc>
        <w:tc>
          <w:tcPr>
            <w:tcW w:w="2395" w:type="dxa"/>
            <w:shd w:val="clear" w:color="auto" w:fill="FFFFFF" w:themeFill="background1"/>
            <w:vAlign w:val="center"/>
          </w:tcPr>
          <w:p>
            <w:pPr>
              <w:widowControl/>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ZL202321264227.8</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陈映彤;王瑞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vAlign w:val="center"/>
          </w:tcPr>
          <w:p>
            <w:pPr>
              <w:spacing w:line="56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ascii="仿宋" w:hAnsi="仿宋" w:eastAsia="仿宋" w:cs="仿宋"/>
                <w:color w:val="000000" w:themeColor="text1"/>
                <w:kern w:val="0"/>
                <w:sz w:val="24"/>
                <w14:textFill>
                  <w14:solidFill>
                    <w14:schemeClr w14:val="tx1"/>
                  </w14:solidFill>
                </w14:textFill>
              </w:rPr>
              <w:t>7</w:t>
            </w:r>
          </w:p>
        </w:tc>
        <w:tc>
          <w:tcPr>
            <w:tcW w:w="3984"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一种医用多功能可调节支架</w:t>
            </w:r>
          </w:p>
        </w:tc>
        <w:tc>
          <w:tcPr>
            <w:tcW w:w="2395" w:type="dxa"/>
            <w:shd w:val="clear" w:color="auto" w:fill="FFFFFF" w:themeFill="background1"/>
            <w:vAlign w:val="center"/>
          </w:tcPr>
          <w:p>
            <w:pPr>
              <w:widowControl/>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ZL202321581312.7</w:t>
            </w:r>
          </w:p>
        </w:tc>
        <w:tc>
          <w:tcPr>
            <w:tcW w:w="2410" w:type="dxa"/>
            <w:shd w:val="clear" w:color="auto" w:fill="FFFFFF" w:themeFill="background1"/>
            <w:vAlign w:val="center"/>
          </w:tcPr>
          <w:p>
            <w:pPr>
              <w:spacing w:line="560" w:lineRule="atLeast"/>
              <w:jc w:val="center"/>
              <w:rPr>
                <w:rFonts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陈浩(学);黎蔚华</w:t>
            </w:r>
          </w:p>
        </w:tc>
      </w:tr>
    </w:tbl>
    <w:p>
      <w:pPr>
        <w:numPr>
          <w:ilvl w:val="255"/>
          <w:numId w:val="0"/>
        </w:numPr>
        <w:rPr>
          <w:rFonts w:ascii="楷体" w:hAnsi="楷体" w:eastAsia="楷体" w:cs="楷体"/>
          <w:sz w:val="32"/>
          <w:szCs w:val="32"/>
        </w:rPr>
      </w:pPr>
      <w:r>
        <w:rPr>
          <w:rFonts w:hint="eastAsia" w:ascii="楷体" w:hAnsi="楷体" w:eastAsia="楷体" w:cs="楷体"/>
          <w:kern w:val="0"/>
          <w:sz w:val="32"/>
          <w:szCs w:val="32"/>
        </w:rPr>
        <w:t xml:space="preserve">  </w:t>
      </w:r>
      <w:r>
        <w:rPr>
          <w:rFonts w:hint="eastAsia" w:ascii="楷体" w:hAnsi="楷体" w:eastAsia="楷体" w:cs="楷体"/>
          <w:b/>
          <w:bCs/>
          <w:kern w:val="0"/>
          <w:sz w:val="32"/>
          <w:szCs w:val="32"/>
        </w:rPr>
        <w:t>（五）专业实践</w:t>
      </w:r>
      <w:r>
        <w:rPr>
          <w:rFonts w:hint="eastAsia" w:ascii="楷体" w:hAnsi="楷体" w:eastAsia="楷体" w:cs="楷体"/>
          <w:b/>
          <w:bCs/>
          <w:sz w:val="32"/>
          <w:szCs w:val="32"/>
        </w:rPr>
        <w:t>情况</w:t>
      </w:r>
    </w:p>
    <w:p>
      <w:pPr>
        <w:spacing w:line="560" w:lineRule="atLeas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为强化实践育人、服务育人环节，根据培养方向按《广东药科大学护理硕士专业学位临床实践大纲》要求进行专科护理实践，实践时间不少于24个月，于第二至第六学期完成。第一阶段：专科护理实践，要求选取3～6个科室进行轮转，每个科室实践时间为4～6个月，总时间不少于15个月。第二阶段：学位论文相关专业实践，要求完成专科护理个案8～10例，参加疑难病例讨论、教学查房、护理会诊等不少于12次，总时间不少于9个月。具体专业实践能力轮转要求及考核方法（见表6）。</w:t>
      </w:r>
    </w:p>
    <w:p>
      <w:pPr>
        <w:ind w:firstLine="321" w:firstLineChars="100"/>
        <w:rPr>
          <w:rFonts w:ascii="楷体" w:hAnsi="楷体" w:eastAsia="楷体" w:cs="楷体"/>
          <w:b/>
          <w:sz w:val="32"/>
          <w:szCs w:val="32"/>
        </w:rPr>
      </w:pPr>
      <w:r>
        <w:rPr>
          <w:rFonts w:hint="eastAsia" w:ascii="楷体" w:hAnsi="楷体" w:eastAsia="楷体" w:cs="楷体"/>
          <w:b/>
          <w:sz w:val="32"/>
          <w:szCs w:val="32"/>
        </w:rPr>
        <w:t>（六）研究生奖助情况</w:t>
      </w:r>
    </w:p>
    <w:p>
      <w:pPr>
        <w:spacing w:line="560" w:lineRule="atLeast"/>
        <w:ind w:firstLine="640" w:firstLineChars="200"/>
        <w:rPr>
          <w:rFonts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学位点依据学校《广东药科大学硕士研究生综合测评细则（试行）》广药大研〔2018〕2 号和《广东药科大学研究生奖助体系实施办法（试行）》广药大〔2018〕60 号等文件，学生奖助体系丰富，包括：国家助学金、国家奖学金、学业奖学金、新生奖学金以及研究生津贴等。学位点充分落实国家及学校的相关资助政策，切实了解学生实际情况，严格按照评审规定评选,做到“公平、公正、公开，进一步完善奖学金评选、家庭经济困难学生认定等资助体系。2023年学位点发放学生国家奖学金、学校奖学金等各级各类奖学金累计达73.7万元，141人获奖。</w:t>
      </w:r>
    </w:p>
    <w:p>
      <w:pPr>
        <w:widowControl/>
        <w:shd w:val="clear" w:color="auto" w:fill="FFFFFF"/>
        <w:spacing w:line="560" w:lineRule="atLeast"/>
        <w:jc w:val="center"/>
        <w:rPr>
          <w:rFonts w:ascii="仿宋" w:hAnsi="仿宋" w:eastAsia="仿宋" w:cs="仿宋"/>
          <w:bCs/>
          <w:color w:val="000000"/>
          <w:kern w:val="0"/>
          <w:sz w:val="28"/>
          <w:szCs w:val="28"/>
        </w:rPr>
      </w:pPr>
      <w:r>
        <w:rPr>
          <w:rFonts w:hint="eastAsia" w:ascii="仿宋" w:hAnsi="仿宋" w:eastAsia="仿宋" w:cs="仿宋"/>
          <w:b/>
          <w:color w:val="000000"/>
          <w:kern w:val="0"/>
          <w:sz w:val="32"/>
          <w:szCs w:val="32"/>
        </w:rPr>
        <w:t xml:space="preserve"> 表6  护理专业硕士学位研究生专业实践轮转要求及考核方法</w:t>
      </w:r>
    </w:p>
    <w:tbl>
      <w:tblPr>
        <w:tblStyle w:val="6"/>
        <w:tblW w:w="8721"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1053"/>
        <w:gridCol w:w="2280"/>
        <w:gridCol w:w="2426"/>
        <w:gridCol w:w="2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24" w:type="dxa"/>
            <w:gridSpan w:val="2"/>
            <w:shd w:val="clear" w:color="auto" w:fill="DEEBF6" w:themeFill="accent1" w:themeFillTint="32"/>
          </w:tcPr>
          <w:p>
            <w:pPr>
              <w:pStyle w:val="10"/>
              <w:spacing w:before="115" w:line="560" w:lineRule="atLeast"/>
              <w:ind w:left="70" w:right="60"/>
              <w:jc w:val="center"/>
              <w:rPr>
                <w:rFonts w:ascii="仿宋" w:hAnsi="仿宋" w:eastAsia="仿宋" w:cs="仿宋"/>
                <w:b/>
                <w:sz w:val="28"/>
                <w:szCs w:val="28"/>
              </w:rPr>
            </w:pPr>
            <w:r>
              <w:rPr>
                <w:rFonts w:hint="eastAsia" w:ascii="仿宋" w:hAnsi="仿宋" w:eastAsia="仿宋" w:cs="仿宋"/>
                <w:b/>
                <w:sz w:val="28"/>
                <w:szCs w:val="28"/>
              </w:rPr>
              <w:t>方向</w:t>
            </w:r>
          </w:p>
        </w:tc>
        <w:tc>
          <w:tcPr>
            <w:tcW w:w="2280" w:type="dxa"/>
            <w:shd w:val="clear" w:color="auto" w:fill="DEEBF6" w:themeFill="accent1" w:themeFillTint="32"/>
          </w:tcPr>
          <w:p>
            <w:pPr>
              <w:pStyle w:val="10"/>
              <w:tabs>
                <w:tab w:val="left" w:pos="884"/>
              </w:tabs>
              <w:spacing w:before="115" w:line="560" w:lineRule="atLeast"/>
              <w:ind w:left="464"/>
              <w:rPr>
                <w:rFonts w:ascii="仿宋" w:hAnsi="仿宋" w:eastAsia="仿宋" w:cs="仿宋"/>
                <w:b/>
                <w:sz w:val="28"/>
                <w:szCs w:val="28"/>
              </w:rPr>
            </w:pPr>
            <w:r>
              <w:rPr>
                <w:rFonts w:hint="eastAsia" w:ascii="仿宋" w:hAnsi="仿宋" w:eastAsia="仿宋" w:cs="仿宋"/>
                <w:b/>
                <w:sz w:val="28"/>
                <w:szCs w:val="28"/>
              </w:rPr>
              <w:t>慢性病护理</w:t>
            </w:r>
          </w:p>
        </w:tc>
        <w:tc>
          <w:tcPr>
            <w:tcW w:w="2426" w:type="dxa"/>
            <w:shd w:val="clear" w:color="auto" w:fill="DEEBF6" w:themeFill="accent1" w:themeFillTint="32"/>
          </w:tcPr>
          <w:p>
            <w:pPr>
              <w:pStyle w:val="10"/>
              <w:spacing w:before="115" w:line="560" w:lineRule="atLeast"/>
              <w:ind w:left="626" w:right="620"/>
              <w:jc w:val="center"/>
              <w:rPr>
                <w:rFonts w:ascii="仿宋" w:hAnsi="仿宋" w:eastAsia="仿宋" w:cs="仿宋"/>
                <w:b/>
                <w:sz w:val="28"/>
                <w:szCs w:val="28"/>
              </w:rPr>
            </w:pPr>
            <w:r>
              <w:rPr>
                <w:rFonts w:hint="eastAsia" w:ascii="仿宋" w:hAnsi="仿宋" w:eastAsia="仿宋" w:cs="仿宋"/>
                <w:b/>
                <w:sz w:val="28"/>
                <w:szCs w:val="28"/>
              </w:rPr>
              <w:t>母婴护理</w:t>
            </w:r>
          </w:p>
        </w:tc>
        <w:tc>
          <w:tcPr>
            <w:tcW w:w="2491" w:type="dxa"/>
            <w:shd w:val="clear" w:color="auto" w:fill="DEEBF6" w:themeFill="accent1" w:themeFillTint="32"/>
          </w:tcPr>
          <w:p>
            <w:pPr>
              <w:pStyle w:val="10"/>
              <w:tabs>
                <w:tab w:val="left" w:pos="431"/>
              </w:tabs>
              <w:spacing w:before="115" w:line="560" w:lineRule="atLeast"/>
              <w:ind w:left="9"/>
              <w:jc w:val="center"/>
              <w:rPr>
                <w:rFonts w:ascii="仿宋" w:hAnsi="仿宋" w:eastAsia="仿宋" w:cs="仿宋"/>
                <w:b/>
                <w:sz w:val="28"/>
                <w:szCs w:val="28"/>
              </w:rPr>
            </w:pPr>
            <w:r>
              <w:rPr>
                <w:rFonts w:hint="eastAsia" w:ascii="仿宋" w:hAnsi="仿宋" w:eastAsia="仿宋" w:cs="仿宋"/>
                <w:b/>
                <w:sz w:val="28"/>
                <w:szCs w:val="28"/>
              </w:rPr>
              <w:t>重症监护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71" w:type="dxa"/>
            <w:vMerge w:val="restart"/>
          </w:tcPr>
          <w:p>
            <w:pPr>
              <w:pStyle w:val="10"/>
              <w:spacing w:before="115" w:line="560" w:lineRule="atLeast"/>
              <w:ind w:left="70" w:right="60"/>
              <w:jc w:val="center"/>
              <w:rPr>
                <w:rFonts w:ascii="仿宋" w:hAnsi="仿宋" w:eastAsia="仿宋" w:cs="仿宋"/>
                <w:b/>
                <w:sz w:val="28"/>
                <w:szCs w:val="28"/>
              </w:rPr>
            </w:pPr>
          </w:p>
          <w:p>
            <w:pPr>
              <w:pStyle w:val="10"/>
              <w:spacing w:before="115" w:line="560" w:lineRule="atLeast"/>
              <w:ind w:left="70" w:right="60"/>
              <w:jc w:val="center"/>
              <w:rPr>
                <w:rFonts w:ascii="仿宋" w:hAnsi="仿宋" w:eastAsia="仿宋" w:cs="仿宋"/>
                <w:b/>
                <w:sz w:val="28"/>
                <w:szCs w:val="28"/>
              </w:rPr>
            </w:pPr>
            <w:r>
              <w:rPr>
                <w:rFonts w:hint="eastAsia" w:ascii="仿宋" w:hAnsi="仿宋" w:eastAsia="仿宋" w:cs="仿宋"/>
                <w:b/>
                <w:sz w:val="28"/>
                <w:szCs w:val="28"/>
              </w:rPr>
              <w:t>第一阶段</w:t>
            </w:r>
          </w:p>
          <w:p>
            <w:pPr>
              <w:pStyle w:val="10"/>
              <w:spacing w:before="115" w:line="560" w:lineRule="atLeast"/>
              <w:ind w:left="70" w:right="60"/>
              <w:jc w:val="center"/>
              <w:rPr>
                <w:rFonts w:ascii="仿宋" w:hAnsi="仿宋" w:eastAsia="仿宋" w:cs="仿宋"/>
                <w:b/>
                <w:sz w:val="28"/>
                <w:szCs w:val="28"/>
              </w:rPr>
            </w:pPr>
            <w:r>
              <w:rPr>
                <w:rFonts w:hint="eastAsia" w:ascii="仿宋" w:hAnsi="仿宋" w:eastAsia="仿宋" w:cs="仿宋"/>
                <w:b/>
                <w:sz w:val="28"/>
                <w:szCs w:val="28"/>
              </w:rPr>
              <w:t>专科护理实践</w:t>
            </w:r>
          </w:p>
        </w:tc>
        <w:tc>
          <w:tcPr>
            <w:tcW w:w="1053" w:type="dxa"/>
            <w:tcBorders>
              <w:bottom w:val="single" w:color="auto" w:sz="4" w:space="0"/>
            </w:tcBorders>
          </w:tcPr>
          <w:p>
            <w:pPr>
              <w:pStyle w:val="10"/>
              <w:spacing w:before="115" w:line="560" w:lineRule="atLeast"/>
              <w:ind w:left="70" w:right="60"/>
              <w:jc w:val="center"/>
              <w:rPr>
                <w:rFonts w:ascii="仿宋" w:hAnsi="仿宋" w:eastAsia="仿宋" w:cs="仿宋"/>
                <w:b/>
                <w:sz w:val="28"/>
                <w:szCs w:val="28"/>
              </w:rPr>
            </w:pPr>
          </w:p>
          <w:p>
            <w:pPr>
              <w:pStyle w:val="10"/>
              <w:spacing w:before="115" w:line="560" w:lineRule="atLeast"/>
              <w:ind w:left="70" w:right="60"/>
              <w:jc w:val="center"/>
              <w:rPr>
                <w:rFonts w:ascii="仿宋" w:hAnsi="仿宋" w:eastAsia="仿宋" w:cs="仿宋"/>
                <w:b/>
                <w:sz w:val="28"/>
                <w:szCs w:val="28"/>
              </w:rPr>
            </w:pPr>
            <w:r>
              <w:rPr>
                <w:rFonts w:hint="eastAsia" w:ascii="仿宋" w:hAnsi="仿宋" w:eastAsia="仿宋" w:cs="仿宋"/>
                <w:b/>
                <w:sz w:val="28"/>
                <w:szCs w:val="28"/>
              </w:rPr>
              <w:t>轮转科室</w:t>
            </w:r>
          </w:p>
        </w:tc>
        <w:tc>
          <w:tcPr>
            <w:tcW w:w="2280" w:type="dxa"/>
            <w:tcBorders>
              <w:bottom w:val="single" w:color="auto" w:sz="4" w:space="0"/>
            </w:tcBorders>
          </w:tcPr>
          <w:p>
            <w:pPr>
              <w:pStyle w:val="10"/>
              <w:spacing w:before="1" w:line="560" w:lineRule="atLeast"/>
              <w:ind w:left="107" w:right="96"/>
              <w:rPr>
                <w:rFonts w:ascii="仿宋" w:hAnsi="仿宋" w:eastAsia="仿宋" w:cs="仿宋"/>
                <w:sz w:val="28"/>
                <w:szCs w:val="28"/>
                <w:lang w:val="en-US"/>
              </w:rPr>
            </w:pPr>
            <w:r>
              <w:rPr>
                <w:rFonts w:hint="eastAsia" w:ascii="仿宋" w:hAnsi="仿宋" w:eastAsia="仿宋" w:cs="仿宋"/>
                <w:sz w:val="28"/>
                <w:szCs w:val="28"/>
                <w:lang w:val="en-US"/>
              </w:rPr>
              <w:t>内科（心血管内科、内分泌科、神经内科、呼吸内科等）、康复科、社区或养老院等相关科室。</w:t>
            </w:r>
          </w:p>
        </w:tc>
        <w:tc>
          <w:tcPr>
            <w:tcW w:w="2426" w:type="dxa"/>
            <w:tcBorders>
              <w:bottom w:val="single" w:color="auto" w:sz="4" w:space="0"/>
            </w:tcBorders>
          </w:tcPr>
          <w:p>
            <w:pPr>
              <w:pStyle w:val="10"/>
              <w:spacing w:before="1" w:line="560" w:lineRule="atLeast"/>
              <w:ind w:left="107" w:right="96"/>
              <w:rPr>
                <w:rFonts w:ascii="仿宋" w:hAnsi="仿宋" w:eastAsia="仿宋" w:cs="仿宋"/>
                <w:sz w:val="28"/>
                <w:szCs w:val="28"/>
                <w:lang w:val="en-US"/>
              </w:rPr>
            </w:pPr>
            <w:r>
              <w:rPr>
                <w:rFonts w:hint="eastAsia" w:ascii="仿宋" w:hAnsi="仿宋" w:eastAsia="仿宋" w:cs="仿宋"/>
                <w:sz w:val="28"/>
                <w:szCs w:val="28"/>
                <w:lang w:val="en-US"/>
              </w:rPr>
              <w:t>妇产科（门急诊、病房）、儿科（门急诊、病房）、新生儿科、儿童保健门诊、NICU、PICU等相关科室。</w:t>
            </w:r>
          </w:p>
        </w:tc>
        <w:tc>
          <w:tcPr>
            <w:tcW w:w="2491" w:type="dxa"/>
            <w:tcBorders>
              <w:bottom w:val="single" w:color="auto" w:sz="4" w:space="0"/>
            </w:tcBorders>
          </w:tcPr>
          <w:p>
            <w:pPr>
              <w:pStyle w:val="10"/>
              <w:spacing w:before="1" w:line="560" w:lineRule="atLeast"/>
              <w:ind w:left="107" w:right="96"/>
              <w:rPr>
                <w:rFonts w:ascii="仿宋" w:hAnsi="仿宋" w:eastAsia="仿宋" w:cs="仿宋"/>
                <w:sz w:val="28"/>
                <w:szCs w:val="28"/>
                <w:lang w:val="en-US"/>
              </w:rPr>
            </w:pPr>
            <w:r>
              <w:rPr>
                <w:rFonts w:hint="eastAsia" w:ascii="仿宋" w:hAnsi="仿宋" w:eastAsia="仿宋" w:cs="仿宋"/>
                <w:sz w:val="28"/>
                <w:szCs w:val="28"/>
                <w:lang w:val="en-US"/>
              </w:rPr>
              <w:t>内科（心血管内科、内分泌科、神经内科、呼吸内科等科室）、急诊科、ICU、SICU、CCU、NICU、PICU等相关科室。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471" w:type="dxa"/>
            <w:vMerge w:val="continue"/>
          </w:tcPr>
          <w:p>
            <w:pPr>
              <w:pStyle w:val="10"/>
              <w:spacing w:before="115" w:line="560" w:lineRule="atLeast"/>
              <w:ind w:left="70" w:right="60"/>
              <w:jc w:val="center"/>
              <w:rPr>
                <w:rFonts w:ascii="仿宋" w:hAnsi="仿宋" w:eastAsia="仿宋" w:cs="仿宋"/>
                <w:b/>
                <w:sz w:val="28"/>
                <w:szCs w:val="28"/>
              </w:rPr>
            </w:pPr>
          </w:p>
        </w:tc>
        <w:tc>
          <w:tcPr>
            <w:tcW w:w="1053" w:type="dxa"/>
            <w:tcBorders>
              <w:top w:val="single" w:color="auto" w:sz="4" w:space="0"/>
            </w:tcBorders>
          </w:tcPr>
          <w:p>
            <w:pPr>
              <w:pStyle w:val="10"/>
              <w:spacing w:before="115" w:line="560" w:lineRule="atLeast"/>
              <w:ind w:left="70" w:right="60"/>
              <w:jc w:val="center"/>
              <w:rPr>
                <w:rFonts w:ascii="仿宋" w:hAnsi="仿宋" w:eastAsia="仿宋" w:cs="仿宋"/>
                <w:b/>
                <w:sz w:val="28"/>
                <w:szCs w:val="28"/>
              </w:rPr>
            </w:pPr>
            <w:r>
              <w:rPr>
                <w:rFonts w:hint="eastAsia" w:ascii="仿宋" w:hAnsi="仿宋" w:eastAsia="仿宋" w:cs="仿宋"/>
                <w:b/>
                <w:sz w:val="28"/>
                <w:szCs w:val="28"/>
              </w:rPr>
              <w:t>要求</w:t>
            </w:r>
          </w:p>
        </w:tc>
        <w:tc>
          <w:tcPr>
            <w:tcW w:w="7197" w:type="dxa"/>
            <w:gridSpan w:val="3"/>
            <w:tcBorders>
              <w:top w:val="single" w:color="auto" w:sz="4" w:space="0"/>
            </w:tcBorders>
          </w:tcPr>
          <w:p>
            <w:pPr>
              <w:pStyle w:val="10"/>
              <w:spacing w:before="1" w:line="560" w:lineRule="atLeast"/>
              <w:ind w:left="107" w:right="96"/>
              <w:rPr>
                <w:rFonts w:ascii="仿宋" w:hAnsi="仿宋" w:eastAsia="仿宋" w:cs="仿宋"/>
                <w:sz w:val="28"/>
                <w:szCs w:val="28"/>
                <w:lang w:val="en-US"/>
              </w:rPr>
            </w:pPr>
            <w:r>
              <w:rPr>
                <w:rFonts w:hint="eastAsia" w:ascii="仿宋" w:hAnsi="仿宋" w:eastAsia="仿宋" w:cs="仿宋"/>
                <w:sz w:val="28"/>
                <w:szCs w:val="28"/>
              </w:rPr>
              <w:t>1.</w:t>
            </w:r>
            <w:r>
              <w:rPr>
                <w:rFonts w:hint="eastAsia" w:ascii="仿宋" w:hAnsi="仿宋" w:eastAsia="仿宋" w:cs="仿宋"/>
                <w:sz w:val="28"/>
                <w:szCs w:val="28"/>
                <w:lang w:val="en-US"/>
              </w:rPr>
              <w:t>选取3</w:t>
            </w:r>
            <w:r>
              <w:rPr>
                <w:rFonts w:hint="eastAsia" w:ascii="仿宋" w:hAnsi="仿宋" w:eastAsia="仿宋" w:cs="仿宋"/>
                <w:color w:val="000000"/>
                <w:kern w:val="0"/>
                <w:sz w:val="28"/>
                <w:szCs w:val="28"/>
              </w:rPr>
              <w:t>～</w:t>
            </w:r>
            <w:r>
              <w:rPr>
                <w:rFonts w:hint="eastAsia" w:ascii="仿宋" w:hAnsi="仿宋" w:eastAsia="仿宋" w:cs="仿宋"/>
                <w:sz w:val="28"/>
                <w:szCs w:val="28"/>
                <w:lang w:val="en-US"/>
              </w:rPr>
              <w:t>6个科室进行轮转，每个科室实践时间为4</w:t>
            </w:r>
            <w:r>
              <w:rPr>
                <w:rFonts w:hint="eastAsia" w:ascii="仿宋" w:hAnsi="仿宋" w:eastAsia="仿宋" w:cs="仿宋"/>
                <w:color w:val="000000"/>
                <w:kern w:val="0"/>
                <w:sz w:val="28"/>
                <w:szCs w:val="28"/>
              </w:rPr>
              <w:t>～</w:t>
            </w:r>
            <w:r>
              <w:rPr>
                <w:rFonts w:hint="eastAsia" w:ascii="仿宋" w:hAnsi="仿宋" w:eastAsia="仿宋" w:cs="仿宋"/>
                <w:sz w:val="28"/>
                <w:szCs w:val="28"/>
                <w:lang w:val="en-US"/>
              </w:rPr>
              <w:t>6 个月，总时间不少于15个月；</w:t>
            </w:r>
          </w:p>
          <w:p>
            <w:pPr>
              <w:pStyle w:val="10"/>
              <w:spacing w:before="1" w:line="560" w:lineRule="atLeast"/>
              <w:ind w:left="107" w:right="96"/>
              <w:rPr>
                <w:rFonts w:ascii="仿宋" w:hAnsi="仿宋" w:eastAsia="仿宋" w:cs="仿宋"/>
                <w:sz w:val="28"/>
                <w:szCs w:val="28"/>
                <w:lang w:val="en-US"/>
              </w:rPr>
            </w:pPr>
            <w:r>
              <w:rPr>
                <w:rFonts w:hint="eastAsia" w:ascii="仿宋" w:hAnsi="仿宋" w:eastAsia="仿宋" w:cs="仿宋"/>
                <w:sz w:val="28"/>
                <w:szCs w:val="28"/>
                <w:lang w:val="en-US"/>
              </w:rPr>
              <w:t>2.参加疑难病例讨论、教学查房、护理会诊等不少于12次；</w:t>
            </w:r>
          </w:p>
          <w:p>
            <w:pPr>
              <w:pStyle w:val="10"/>
              <w:spacing w:before="1" w:line="560" w:lineRule="atLeast"/>
              <w:ind w:left="107" w:right="96"/>
              <w:rPr>
                <w:rFonts w:ascii="仿宋" w:hAnsi="仿宋" w:eastAsia="仿宋" w:cs="仿宋"/>
                <w:sz w:val="28"/>
                <w:szCs w:val="28"/>
                <w:lang w:val="en-US"/>
              </w:rPr>
            </w:pPr>
            <w:r>
              <w:rPr>
                <w:rFonts w:hint="eastAsia" w:ascii="仿宋" w:hAnsi="仿宋" w:eastAsia="仿宋" w:cs="仿宋"/>
                <w:sz w:val="28"/>
                <w:szCs w:val="28"/>
                <w:lang w:val="en-US"/>
              </w:rPr>
              <w:t>3.完成专科护理个案8</w:t>
            </w:r>
            <w:r>
              <w:rPr>
                <w:rFonts w:hint="eastAsia" w:ascii="仿宋" w:hAnsi="仿宋" w:eastAsia="仿宋" w:cs="仿宋"/>
                <w:color w:val="000000"/>
                <w:kern w:val="0"/>
                <w:sz w:val="28"/>
                <w:szCs w:val="28"/>
              </w:rPr>
              <w:t>～</w:t>
            </w:r>
            <w:r>
              <w:rPr>
                <w:rFonts w:hint="eastAsia" w:ascii="仿宋" w:hAnsi="仿宋" w:eastAsia="仿宋" w:cs="仿宋"/>
                <w:sz w:val="28"/>
                <w:szCs w:val="28"/>
                <w:lang w:val="en-US"/>
              </w:rPr>
              <w:t>10例。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524" w:type="dxa"/>
            <w:gridSpan w:val="2"/>
          </w:tcPr>
          <w:p>
            <w:pPr>
              <w:pStyle w:val="10"/>
              <w:spacing w:before="115" w:line="560" w:lineRule="atLeast"/>
              <w:ind w:left="70" w:right="60"/>
              <w:jc w:val="center"/>
              <w:rPr>
                <w:rFonts w:ascii="仿宋" w:hAnsi="仿宋" w:eastAsia="仿宋" w:cs="仿宋"/>
                <w:b/>
                <w:sz w:val="28"/>
                <w:szCs w:val="28"/>
              </w:rPr>
            </w:pPr>
            <w:r>
              <w:rPr>
                <w:rFonts w:hint="eastAsia" w:ascii="仿宋" w:hAnsi="仿宋" w:eastAsia="仿宋" w:cs="仿宋"/>
                <w:b/>
                <w:sz w:val="28"/>
                <w:szCs w:val="28"/>
              </w:rPr>
              <w:t>第二阶</w:t>
            </w:r>
          </w:p>
          <w:p>
            <w:pPr>
              <w:pStyle w:val="10"/>
              <w:spacing w:before="115" w:line="560" w:lineRule="atLeast"/>
              <w:ind w:left="70" w:right="60"/>
              <w:rPr>
                <w:rFonts w:ascii="仿宋" w:hAnsi="仿宋" w:eastAsia="仿宋" w:cs="仿宋"/>
                <w:b/>
                <w:sz w:val="28"/>
                <w:szCs w:val="28"/>
              </w:rPr>
            </w:pPr>
            <w:r>
              <w:rPr>
                <w:rFonts w:hint="eastAsia" w:ascii="仿宋" w:hAnsi="仿宋" w:eastAsia="仿宋" w:cs="仿宋"/>
                <w:b/>
                <w:sz w:val="28"/>
                <w:szCs w:val="28"/>
              </w:rPr>
              <w:t>段学位论文相关专业实践</w:t>
            </w:r>
          </w:p>
        </w:tc>
        <w:tc>
          <w:tcPr>
            <w:tcW w:w="7197" w:type="dxa"/>
            <w:gridSpan w:val="3"/>
          </w:tcPr>
          <w:p>
            <w:pPr>
              <w:pStyle w:val="10"/>
              <w:tabs>
                <w:tab w:val="left" w:pos="431"/>
              </w:tabs>
              <w:spacing w:before="115" w:line="560" w:lineRule="atLeast"/>
              <w:ind w:left="9" w:firstLine="280" w:firstLineChars="100"/>
              <w:rPr>
                <w:rFonts w:ascii="仿宋" w:hAnsi="仿宋" w:eastAsia="仿宋" w:cs="仿宋"/>
                <w:sz w:val="28"/>
                <w:szCs w:val="28"/>
              </w:rPr>
            </w:pPr>
          </w:p>
          <w:p>
            <w:pPr>
              <w:pStyle w:val="10"/>
              <w:tabs>
                <w:tab w:val="left" w:pos="431"/>
              </w:tabs>
              <w:spacing w:before="115" w:line="560" w:lineRule="atLeast"/>
              <w:ind w:left="9" w:firstLine="280" w:firstLineChars="100"/>
              <w:rPr>
                <w:rFonts w:ascii="仿宋" w:hAnsi="仿宋" w:eastAsia="仿宋" w:cs="仿宋"/>
                <w:b/>
                <w:sz w:val="28"/>
                <w:szCs w:val="28"/>
              </w:rPr>
            </w:pPr>
            <w:r>
              <w:rPr>
                <w:rFonts w:hint="eastAsia" w:ascii="仿宋" w:hAnsi="仿宋" w:eastAsia="仿宋" w:cs="仿宋"/>
                <w:kern w:val="0"/>
                <w:sz w:val="28"/>
                <w:szCs w:val="28"/>
                <w:lang w:val="en-US" w:bidi="ar-SA"/>
              </w:rPr>
              <w:t>在“双导师”指导下进行学位论文研究相关科室轮转，不少于9个月。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524" w:type="dxa"/>
            <w:gridSpan w:val="2"/>
          </w:tcPr>
          <w:p>
            <w:pPr>
              <w:pStyle w:val="10"/>
              <w:spacing w:before="115" w:line="560" w:lineRule="atLeast"/>
              <w:ind w:left="70" w:right="60"/>
              <w:jc w:val="center"/>
              <w:rPr>
                <w:rFonts w:ascii="仿宋" w:hAnsi="仿宋" w:eastAsia="仿宋" w:cs="仿宋"/>
                <w:b/>
                <w:sz w:val="28"/>
                <w:szCs w:val="28"/>
              </w:rPr>
            </w:pPr>
          </w:p>
          <w:p>
            <w:pPr>
              <w:pStyle w:val="10"/>
              <w:spacing w:before="115" w:line="560" w:lineRule="atLeast"/>
              <w:ind w:left="70" w:right="60"/>
              <w:jc w:val="center"/>
              <w:rPr>
                <w:rFonts w:ascii="仿宋" w:hAnsi="仿宋" w:eastAsia="仿宋" w:cs="仿宋"/>
                <w:b/>
                <w:sz w:val="28"/>
                <w:szCs w:val="28"/>
              </w:rPr>
            </w:pPr>
          </w:p>
          <w:p>
            <w:pPr>
              <w:pStyle w:val="10"/>
              <w:spacing w:before="115" w:line="560" w:lineRule="atLeast"/>
              <w:ind w:left="70" w:right="60"/>
              <w:jc w:val="center"/>
              <w:rPr>
                <w:rFonts w:ascii="仿宋" w:hAnsi="仿宋" w:eastAsia="仿宋" w:cs="仿宋"/>
                <w:b/>
                <w:sz w:val="28"/>
                <w:szCs w:val="28"/>
              </w:rPr>
            </w:pPr>
            <w:r>
              <w:rPr>
                <w:rFonts w:hint="eastAsia" w:ascii="仿宋" w:hAnsi="仿宋" w:eastAsia="仿宋" w:cs="仿宋"/>
                <w:b/>
                <w:sz w:val="28"/>
                <w:szCs w:val="28"/>
              </w:rPr>
              <w:t>考核</w:t>
            </w:r>
          </w:p>
        </w:tc>
        <w:tc>
          <w:tcPr>
            <w:tcW w:w="7197" w:type="dxa"/>
            <w:gridSpan w:val="3"/>
          </w:tcPr>
          <w:p>
            <w:pPr>
              <w:pStyle w:val="10"/>
              <w:spacing w:before="1" w:line="560" w:lineRule="atLeast"/>
              <w:ind w:left="107" w:right="96"/>
              <w:rPr>
                <w:rFonts w:ascii="仿宋" w:hAnsi="仿宋" w:eastAsia="仿宋" w:cs="仿宋"/>
                <w:sz w:val="28"/>
                <w:szCs w:val="28"/>
              </w:rPr>
            </w:pPr>
            <w:r>
              <w:rPr>
                <w:rFonts w:hint="eastAsia" w:ascii="仿宋" w:hAnsi="仿宋" w:eastAsia="仿宋" w:cs="仿宋"/>
                <w:sz w:val="28"/>
                <w:szCs w:val="28"/>
              </w:rPr>
              <w:t>考核内容：专业理论和技能，在考核过程中注重职业道德、人文素养、临床思维等综合能力评价。</w:t>
            </w:r>
          </w:p>
          <w:p>
            <w:pPr>
              <w:pStyle w:val="10"/>
              <w:spacing w:before="1" w:line="560" w:lineRule="atLeast"/>
              <w:ind w:left="107" w:right="96"/>
              <w:rPr>
                <w:rFonts w:ascii="仿宋" w:hAnsi="仿宋" w:eastAsia="仿宋" w:cs="仿宋"/>
                <w:sz w:val="28"/>
                <w:szCs w:val="28"/>
              </w:rPr>
            </w:pPr>
            <w:r>
              <w:rPr>
                <w:rFonts w:hint="eastAsia" w:ascii="仿宋" w:hAnsi="仿宋" w:eastAsia="仿宋" w:cs="仿宋"/>
                <w:sz w:val="28"/>
                <w:szCs w:val="28"/>
              </w:rPr>
              <w:t>1.过程考核：由实践基地组织，在研究生出科时进行相关科室理论和技能考核，考核情况和成绩记录于《轮转培训手册》；</w:t>
            </w:r>
          </w:p>
          <w:p>
            <w:pPr>
              <w:pStyle w:val="10"/>
              <w:spacing w:before="1" w:line="560" w:lineRule="atLeast"/>
              <w:ind w:left="107" w:right="96"/>
              <w:rPr>
                <w:rFonts w:ascii="仿宋" w:hAnsi="仿宋" w:eastAsia="仿宋" w:cs="仿宋"/>
                <w:sz w:val="28"/>
                <w:szCs w:val="28"/>
              </w:rPr>
            </w:pPr>
            <w:r>
              <w:rPr>
                <w:rFonts w:hint="eastAsia" w:ascii="仿宋" w:hAnsi="仿宋" w:eastAsia="仿宋" w:cs="仿宋"/>
                <w:sz w:val="28"/>
                <w:szCs w:val="28"/>
              </w:rPr>
              <w:t>2.中期考核：由学位点组织，对研究生进行基础护理和专科护理技能考核；</w:t>
            </w:r>
          </w:p>
          <w:p>
            <w:pPr>
              <w:pStyle w:val="10"/>
              <w:spacing w:before="1" w:line="560" w:lineRule="atLeast"/>
              <w:ind w:left="107" w:right="96"/>
              <w:rPr>
                <w:rFonts w:ascii="仿宋" w:hAnsi="仿宋" w:eastAsia="仿宋" w:cs="仿宋"/>
                <w:b/>
                <w:sz w:val="28"/>
                <w:szCs w:val="28"/>
              </w:rPr>
            </w:pPr>
            <w:r>
              <w:rPr>
                <w:rFonts w:hint="eastAsia" w:ascii="仿宋" w:hAnsi="仿宋" w:eastAsia="仿宋" w:cs="仿宋"/>
                <w:sz w:val="28"/>
                <w:szCs w:val="28"/>
              </w:rPr>
              <w:t>3.终末考核：由学位点组织，按培养方向进行多站化临床综合能力考核，包括职业素养、临床思辨能力，以及病史采集、体检检查、临床护理操作、护理病历书写等。考核合格方可申请学位论文答辩。</w:t>
            </w:r>
          </w:p>
        </w:tc>
      </w:tr>
    </w:tbl>
    <w:p>
      <w:pPr>
        <w:spacing w:line="560" w:lineRule="atLeast"/>
        <w:rPr>
          <w:color w:val="FF0000"/>
          <w:sz w:val="32"/>
          <w:szCs w:val="32"/>
        </w:rPr>
      </w:pPr>
      <w:r>
        <w:rPr>
          <w:rFonts w:hint="eastAsia" w:ascii="黑体" w:hAnsi="黑体" w:eastAsia="黑体" w:cs="黑体"/>
          <w:b/>
          <w:bCs/>
          <w:sz w:val="32"/>
          <w:szCs w:val="32"/>
        </w:rPr>
        <w:t>四、研究生教育改革情况</w:t>
      </w:r>
    </w:p>
    <w:p>
      <w:pPr>
        <w:spacing w:line="560" w:lineRule="atLeast"/>
        <w:ind w:firstLine="643" w:firstLineChars="200"/>
        <w:rPr>
          <w:rFonts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b/>
          <w:color w:val="000000" w:themeColor="text1"/>
          <w:sz w:val="32"/>
          <w:szCs w:val="32"/>
          <w14:textFill>
            <w14:solidFill>
              <w14:schemeClr w14:val="tx1"/>
            </w14:solidFill>
          </w14:textFill>
        </w:rPr>
        <w:t>在人才培养改革方面</w:t>
      </w:r>
    </w:p>
    <w:p>
      <w:pPr>
        <w:spacing w:line="560" w:lineRule="atLeast"/>
        <w:ind w:firstLine="640" w:firstLineChars="200"/>
        <w:rPr>
          <w:rFonts w:ascii="仿宋" w:hAnsi="仿宋" w:eastAsia="仿宋" w:cs="仿宋"/>
          <w:bCs/>
          <w:sz w:val="32"/>
          <w:szCs w:val="32"/>
        </w:rPr>
      </w:pPr>
      <w:r>
        <w:rPr>
          <w:rFonts w:hint="eastAsia" w:ascii="仿宋" w:hAnsi="仿宋" w:eastAsia="仿宋" w:cs="仿宋"/>
          <w:bCs/>
          <w:sz w:val="32"/>
          <w:szCs w:val="32"/>
        </w:rPr>
        <w:t>1.基于岗位需求，构建模块化的课程体系。课程体系由公共课、专业基础课及专业课三个模块组成。《</w:t>
      </w:r>
      <w:r>
        <w:rPr>
          <w:rFonts w:hint="eastAsia" w:ascii="仿宋" w:hAnsi="仿宋" w:eastAsia="仿宋" w:cs="仿宋"/>
          <w:bCs/>
          <w:color w:val="000000"/>
          <w:sz w:val="32"/>
          <w:szCs w:val="32"/>
        </w:rPr>
        <w:t>中国特色社会主义理论与实践研究</w:t>
      </w:r>
      <w:r>
        <w:rPr>
          <w:rFonts w:hint="eastAsia" w:ascii="仿宋" w:hAnsi="仿宋" w:eastAsia="仿宋" w:cs="仿宋"/>
          <w:bCs/>
          <w:sz w:val="32"/>
          <w:szCs w:val="32"/>
        </w:rPr>
        <w:t>》</w:t>
      </w:r>
      <w:r>
        <w:rPr>
          <w:rFonts w:hint="eastAsia" w:ascii="仿宋" w:hAnsi="仿宋" w:eastAsia="仿宋" w:cs="仿宋"/>
          <w:bCs/>
          <w:color w:val="000000"/>
          <w:sz w:val="32"/>
          <w:szCs w:val="32"/>
        </w:rPr>
        <w:t>等公共课帮助学生掌握马克思主义基本原理和中国特色社会主义理论体系</w:t>
      </w:r>
      <w:r>
        <w:rPr>
          <w:rFonts w:hint="eastAsia" w:ascii="仿宋" w:hAnsi="仿宋" w:eastAsia="仿宋" w:cs="仿宋"/>
          <w:bCs/>
          <w:sz w:val="32"/>
          <w:szCs w:val="32"/>
        </w:rPr>
        <w:t>；《高级健康评估》等专业基础课夯实学生理论基础；《慢性病护理案例学习》、《母婴护理案例学习》和《重症监护案例学习》等专业课聚焦培养方向，强化临床思维能力培养。培养过程中全面开展课程思政，将社会主义核心价值观、职业道德、职业伦理融入学生培养全过程。</w:t>
      </w:r>
    </w:p>
    <w:p>
      <w:pPr>
        <w:spacing w:line="560" w:lineRule="atLeast"/>
        <w:ind w:firstLine="640" w:firstLineChars="200"/>
        <w:rPr>
          <w:rFonts w:ascii="仿宋" w:hAnsi="仿宋" w:eastAsia="仿宋" w:cs="仿宋"/>
          <w:bCs/>
          <w:sz w:val="32"/>
          <w:szCs w:val="32"/>
        </w:rPr>
      </w:pPr>
      <w:r>
        <w:rPr>
          <w:rFonts w:hint="eastAsia" w:ascii="仿宋" w:hAnsi="仿宋" w:eastAsia="仿宋" w:cs="仿宋"/>
          <w:bCs/>
          <w:sz w:val="32"/>
          <w:szCs w:val="32"/>
        </w:rPr>
        <w:t>2.适应护理行业发展，与专科护士需求有效衔接。采用“36学时课程案例学习加24个月以上的高级护理实践”的形式，培养临床思维能力和实践能力，实现三个方向的护理硕士专业学位教育与专科护士培养的有效衔接。五届毕业生中3人获得广东省专科护士资格。</w:t>
      </w:r>
    </w:p>
    <w:p>
      <w:pPr>
        <w:spacing w:line="560" w:lineRule="atLeast"/>
        <w:ind w:firstLine="640" w:firstLineChars="200"/>
        <w:rPr>
          <w:rFonts w:ascii="仿宋" w:hAnsi="仿宋" w:eastAsia="仿宋" w:cs="仿宋"/>
          <w:bCs/>
          <w:color w:val="000000"/>
          <w:kern w:val="0"/>
          <w:sz w:val="32"/>
          <w:szCs w:val="32"/>
        </w:rPr>
      </w:pPr>
      <w:r>
        <w:rPr>
          <w:rFonts w:hint="eastAsia" w:ascii="仿宋" w:hAnsi="仿宋" w:eastAsia="仿宋" w:cs="仿宋"/>
          <w:bCs/>
          <w:sz w:val="32"/>
          <w:szCs w:val="32"/>
        </w:rPr>
        <w:t>3.促进药护融合，彰显人才培养特色。依托学校药学等重点学科，促进药护融合，强化学生临床用药知识</w:t>
      </w:r>
      <w:r>
        <w:rPr>
          <w:rFonts w:hint="eastAsia" w:ascii="仿宋" w:hAnsi="仿宋" w:eastAsia="仿宋" w:cs="仿宋"/>
          <w:bCs/>
          <w:color w:val="000000"/>
          <w:kern w:val="0"/>
          <w:sz w:val="32"/>
          <w:szCs w:val="32"/>
        </w:rPr>
        <w:t>和药物护理能力的培养</w:t>
      </w:r>
      <w:r>
        <w:rPr>
          <w:rFonts w:hint="eastAsia" w:ascii="仿宋" w:hAnsi="仿宋" w:eastAsia="仿宋" w:cs="仿宋"/>
          <w:bCs/>
          <w:sz w:val="32"/>
          <w:szCs w:val="32"/>
        </w:rPr>
        <w:t>，引导学生从护理角度开展与临床药物使用相关的研究，</w:t>
      </w:r>
      <w:r>
        <w:rPr>
          <w:rFonts w:hint="eastAsia" w:ascii="仿宋" w:hAnsi="仿宋" w:eastAsia="仿宋" w:cs="仿宋"/>
          <w:bCs/>
          <w:color w:val="000000"/>
          <w:kern w:val="0"/>
          <w:sz w:val="32"/>
          <w:szCs w:val="32"/>
        </w:rPr>
        <w:t>体现药科大学高层次护理人才培养的特色和优势。</w:t>
      </w:r>
    </w:p>
    <w:p>
      <w:pPr>
        <w:widowControl/>
        <w:shd w:val="clear" w:color="auto" w:fill="FFFFFF"/>
        <w:spacing w:before="100" w:after="100" w:line="560" w:lineRule="atLeast"/>
        <w:ind w:firstLine="640" w:firstLineChars="200"/>
        <w:jc w:val="left"/>
        <w:rPr>
          <w:rFonts w:ascii="仿宋" w:hAnsi="仿宋" w:eastAsia="仿宋" w:cs="仿宋"/>
          <w:sz w:val="32"/>
          <w:szCs w:val="32"/>
        </w:rPr>
      </w:pPr>
      <w:r>
        <w:rPr>
          <w:rFonts w:hint="eastAsia" w:ascii="仿宋" w:hAnsi="仿宋" w:eastAsia="仿宋" w:cs="仿宋"/>
          <w:bCs/>
          <w:color w:val="000000"/>
          <w:kern w:val="0"/>
          <w:sz w:val="32"/>
          <w:szCs w:val="32"/>
        </w:rPr>
        <w:t>4.开展案例教学，提升护理专业人才培养质量。</w:t>
      </w:r>
      <w:r>
        <w:rPr>
          <w:rFonts w:hint="eastAsia" w:ascii="仿宋" w:hAnsi="仿宋" w:eastAsia="仿宋" w:cs="仿宋"/>
          <w:sz w:val="32"/>
          <w:szCs w:val="32"/>
        </w:rPr>
        <w:t>依托广东省教育厅研究生教育创新计划已立项项目：“高级健康评估案例库”、“社区护理学案例库”、“精神科护理学案例库”和“母婴护理案例库”，累计编写教学案例47个，案例病种对三个培养方向的专业基础课和专业课教学起到有力支撑作用。在案例库编写中学位点依据“中国专业学位教学案例中心”制定的规范，根据临床真实案例，与实践基地导师联合编写，编写完成后请相关行业专家参与审核修订。目前4个护理专硕案例库建设项目均已顺利结题，并依据教学实践效果进行了完善，拟向“中国专业学位教学案例中心”或其他国家级省级案例库申请入库。2023年江门市中心医院获省级联合培养研究生示范基地立项建设。</w:t>
      </w:r>
    </w:p>
    <w:p>
      <w:pPr>
        <w:spacing w:line="560" w:lineRule="atLeas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（二）在师资队伍建设方面</w:t>
      </w:r>
    </w:p>
    <w:p>
      <w:pPr>
        <w:widowControl/>
        <w:numPr>
          <w:ilvl w:val="255"/>
          <w:numId w:val="0"/>
        </w:numPr>
        <w:shd w:val="clear" w:color="auto" w:fill="FFFFFF"/>
        <w:spacing w:before="100" w:after="100" w:line="560" w:lineRule="atLeas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sz w:val="32"/>
          <w:szCs w:val="32"/>
        </w:rPr>
        <w:t>学位点拥有一支高层次、高素质、可发展的人才队伍。</w:t>
      </w:r>
      <w:bookmarkStart w:id="0" w:name="_GoBack"/>
      <w:bookmarkEnd w:id="0"/>
      <w:r>
        <w:rPr>
          <w:rFonts w:hint="eastAsia" w:ascii="仿宋" w:hAnsi="仿宋" w:eastAsia="仿宋" w:cs="仿宋"/>
          <w:color w:val="000000"/>
          <w:sz w:val="32"/>
          <w:szCs w:val="32"/>
        </w:rPr>
        <w:t>校级“千百十”人才</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人，双师型教师27名，其中骨科专科护士1人，老年和中风专科护士1人。近年来通过内培外引方式加强师资队建设，4人通过在职培养获得博士学位，1人博士研究生在读，先后从中山大学和南方医科大学等高校引进博士3人。</w:t>
      </w:r>
    </w:p>
    <w:p>
      <w:pPr>
        <w:numPr>
          <w:ilvl w:val="255"/>
          <w:numId w:val="0"/>
        </w:numPr>
        <w:spacing w:line="560" w:lineRule="atLeast"/>
        <w:ind w:firstLine="321" w:firstLineChars="100"/>
        <w:jc w:val="left"/>
        <w:rPr>
          <w:b/>
          <w:bCs/>
          <w:sz w:val="32"/>
          <w:szCs w:val="32"/>
        </w:rPr>
      </w:pPr>
      <w:r>
        <w:rPr>
          <w:rFonts w:hint="eastAsia" w:ascii="仿宋" w:hAnsi="仿宋" w:eastAsia="仿宋" w:cs="仿宋"/>
          <w:b/>
          <w:bCs/>
          <w:sz w:val="32"/>
          <w:szCs w:val="32"/>
        </w:rPr>
        <w:t>（三）在科学研究方面</w:t>
      </w:r>
    </w:p>
    <w:p>
      <w:pPr>
        <w:widowControl/>
        <w:numPr>
          <w:ilvl w:val="255"/>
          <w:numId w:val="0"/>
        </w:numPr>
        <w:shd w:val="clear" w:color="auto" w:fill="FFFFFF"/>
        <w:spacing w:before="100" w:after="100" w:line="5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随着护理学科的整体发展，护理学院的学科建设和科学研究工作也不断取得新成绩，学院教师依托学校的国家级和省级科研平台开展药物护理、临床护理、社区护理等领域的研究。202</w:t>
      </w:r>
      <w:r>
        <w:rPr>
          <w:rFonts w:ascii="仿宋" w:hAnsi="仿宋" w:eastAsia="仿宋" w:cs="仿宋"/>
          <w:sz w:val="32"/>
          <w:szCs w:val="32"/>
        </w:rPr>
        <w:t>3</w:t>
      </w:r>
      <w:r>
        <w:rPr>
          <w:rFonts w:hint="eastAsia" w:ascii="仿宋" w:hAnsi="仿宋" w:eastAsia="仿宋" w:cs="仿宋"/>
          <w:sz w:val="32"/>
          <w:szCs w:val="32"/>
        </w:rPr>
        <w:t>年学位点</w:t>
      </w:r>
      <w:r>
        <w:rPr>
          <w:rFonts w:hint="eastAsia" w:ascii="仿宋" w:hAnsi="仿宋" w:eastAsia="仿宋" w:cs="仿宋"/>
          <w:sz w:val="32"/>
          <w:szCs w:val="32"/>
          <w:lang w:val="en-US" w:eastAsia="zh-CN"/>
        </w:rPr>
        <w:t>教师</w:t>
      </w:r>
      <w:r>
        <w:rPr>
          <w:rFonts w:hint="eastAsia" w:ascii="仿宋" w:hAnsi="仿宋" w:eastAsia="仿宋" w:cs="仿宋"/>
          <w:sz w:val="32"/>
          <w:szCs w:val="32"/>
        </w:rPr>
        <w:t>共主持各级各类科研项目</w:t>
      </w:r>
      <w:r>
        <w:rPr>
          <w:rFonts w:ascii="仿宋" w:hAnsi="仿宋" w:eastAsia="仿宋" w:cs="仿宋"/>
          <w:sz w:val="32"/>
          <w:szCs w:val="32"/>
        </w:rPr>
        <w:t>14</w:t>
      </w:r>
      <w:r>
        <w:rPr>
          <w:rFonts w:hint="eastAsia" w:ascii="仿宋" w:hAnsi="仿宋" w:eastAsia="仿宋" w:cs="仿宋"/>
          <w:sz w:val="32"/>
          <w:szCs w:val="32"/>
        </w:rPr>
        <w:t>项，总经费</w:t>
      </w:r>
      <w:r>
        <w:rPr>
          <w:rFonts w:ascii="仿宋" w:hAnsi="仿宋" w:eastAsia="仿宋" w:cs="仿宋"/>
          <w:sz w:val="32"/>
          <w:szCs w:val="32"/>
        </w:rPr>
        <w:t>88</w:t>
      </w:r>
      <w:r>
        <w:rPr>
          <w:rFonts w:hint="eastAsia" w:ascii="仿宋" w:hAnsi="仿宋" w:eastAsia="仿宋" w:cs="仿宋"/>
          <w:sz w:val="32"/>
          <w:szCs w:val="32"/>
        </w:rPr>
        <w:t>.</w:t>
      </w:r>
      <w:r>
        <w:rPr>
          <w:rFonts w:ascii="仿宋" w:hAnsi="仿宋" w:eastAsia="仿宋" w:cs="仿宋"/>
          <w:sz w:val="32"/>
          <w:szCs w:val="32"/>
        </w:rPr>
        <w:t>86</w:t>
      </w:r>
      <w:r>
        <w:rPr>
          <w:rFonts w:hint="eastAsia" w:ascii="仿宋" w:hAnsi="仿宋" w:eastAsia="仿宋" w:cs="仿宋"/>
          <w:sz w:val="32"/>
          <w:szCs w:val="32"/>
        </w:rPr>
        <w:t>万元（见表8），发表SCI论文</w:t>
      </w:r>
      <w:r>
        <w:rPr>
          <w:rFonts w:hint="eastAsia" w:ascii="仿宋" w:hAnsi="仿宋" w:eastAsia="仿宋" w:cs="仿宋"/>
          <w:sz w:val="32"/>
          <w:szCs w:val="32"/>
          <w:lang w:val="en-US" w:eastAsia="zh-CN"/>
        </w:rPr>
        <w:t>9</w:t>
      </w:r>
      <w:r>
        <w:rPr>
          <w:rFonts w:hint="eastAsia" w:ascii="仿宋" w:hAnsi="仿宋" w:eastAsia="仿宋" w:cs="仿宋"/>
          <w:sz w:val="32"/>
          <w:szCs w:val="32"/>
        </w:rPr>
        <w:t>篇，获授权专利</w:t>
      </w:r>
      <w:r>
        <w:rPr>
          <w:rFonts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项；有1</w:t>
      </w:r>
      <w:r>
        <w:rPr>
          <w:rFonts w:ascii="仿宋" w:hAnsi="仿宋" w:eastAsia="仿宋" w:cs="仿宋"/>
          <w:sz w:val="32"/>
          <w:szCs w:val="32"/>
        </w:rPr>
        <w:t>3</w:t>
      </w:r>
      <w:r>
        <w:rPr>
          <w:rFonts w:hint="eastAsia" w:ascii="仿宋" w:hAnsi="仿宋" w:eastAsia="仿宋" w:cs="仿宋"/>
          <w:sz w:val="32"/>
          <w:szCs w:val="32"/>
        </w:rPr>
        <w:t>位同学的研究成果在全国各类学术年会上进行壁报展示和口头汇报。</w:t>
      </w:r>
    </w:p>
    <w:p>
      <w:pPr>
        <w:spacing w:line="560" w:lineRule="atLeast"/>
        <w:jc w:val="center"/>
        <w:rPr>
          <w:rFonts w:ascii="仿宋" w:hAnsi="仿宋" w:eastAsia="仿宋" w:cs="仿宋"/>
          <w:b/>
          <w:bCs/>
          <w:sz w:val="32"/>
          <w:szCs w:val="32"/>
        </w:rPr>
      </w:pPr>
      <w:r>
        <w:rPr>
          <w:rFonts w:hint="eastAsia" w:ascii="仿宋" w:hAnsi="仿宋" w:eastAsia="仿宋" w:cs="仿宋"/>
          <w:b/>
          <w:bCs/>
          <w:sz w:val="32"/>
          <w:szCs w:val="32"/>
        </w:rPr>
        <w:t>表8  202</w:t>
      </w:r>
      <w:r>
        <w:rPr>
          <w:rFonts w:ascii="仿宋" w:hAnsi="仿宋" w:eastAsia="仿宋" w:cs="仿宋"/>
          <w:b/>
          <w:bCs/>
          <w:sz w:val="32"/>
          <w:szCs w:val="32"/>
        </w:rPr>
        <w:t>3</w:t>
      </w:r>
      <w:r>
        <w:rPr>
          <w:rFonts w:hint="eastAsia" w:ascii="仿宋" w:hAnsi="仿宋" w:eastAsia="仿宋" w:cs="仿宋"/>
          <w:b/>
          <w:bCs/>
          <w:sz w:val="32"/>
          <w:szCs w:val="32"/>
        </w:rPr>
        <w:t>年护理学院教师主持科研项目情况</w:t>
      </w:r>
    </w:p>
    <w:tbl>
      <w:tblPr>
        <w:tblStyle w:val="6"/>
        <w:tblW w:w="9087" w:type="dxa"/>
        <w:tblInd w:w="0" w:type="dxa"/>
        <w:tblLayout w:type="fixed"/>
        <w:tblCellMar>
          <w:top w:w="15" w:type="dxa"/>
          <w:left w:w="15" w:type="dxa"/>
          <w:bottom w:w="15" w:type="dxa"/>
          <w:right w:w="15" w:type="dxa"/>
        </w:tblCellMar>
      </w:tblPr>
      <w:tblGrid>
        <w:gridCol w:w="779"/>
        <w:gridCol w:w="2497"/>
        <w:gridCol w:w="2412"/>
        <w:gridCol w:w="1131"/>
        <w:gridCol w:w="2268"/>
      </w:tblGrid>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560" w:lineRule="atLeast"/>
              <w:jc w:val="center"/>
              <w:textAlignment w:val="center"/>
              <w:rPr>
                <w:rFonts w:ascii="仿宋" w:hAnsi="仿宋" w:eastAsia="仿宋" w:cs="仿宋"/>
                <w:b/>
                <w:bCs/>
                <w:sz w:val="28"/>
                <w:szCs w:val="28"/>
              </w:rPr>
            </w:pPr>
            <w:r>
              <w:rPr>
                <w:rFonts w:hint="eastAsia" w:ascii="仿宋" w:hAnsi="仿宋" w:eastAsia="仿宋" w:cs="仿宋"/>
                <w:b/>
                <w:bCs/>
                <w:kern w:val="0"/>
                <w:sz w:val="28"/>
                <w:szCs w:val="28"/>
              </w:rPr>
              <w:t>序号</w:t>
            </w:r>
          </w:p>
        </w:tc>
        <w:tc>
          <w:tcPr>
            <w:tcW w:w="24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560" w:lineRule="atLeast"/>
              <w:jc w:val="center"/>
              <w:textAlignment w:val="center"/>
              <w:rPr>
                <w:rFonts w:ascii="仿宋" w:hAnsi="仿宋" w:eastAsia="仿宋" w:cs="仿宋"/>
                <w:b/>
                <w:bCs/>
                <w:sz w:val="28"/>
                <w:szCs w:val="28"/>
              </w:rPr>
            </w:pPr>
            <w:r>
              <w:rPr>
                <w:rFonts w:hint="eastAsia" w:ascii="仿宋" w:hAnsi="仿宋" w:eastAsia="仿宋" w:cs="仿宋"/>
                <w:b/>
                <w:bCs/>
                <w:kern w:val="0"/>
                <w:sz w:val="28"/>
                <w:szCs w:val="28"/>
              </w:rPr>
              <w:t>项目名称</w:t>
            </w:r>
          </w:p>
        </w:tc>
        <w:tc>
          <w:tcPr>
            <w:tcW w:w="24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560" w:lineRule="atLeast"/>
              <w:jc w:val="center"/>
              <w:textAlignment w:val="center"/>
              <w:rPr>
                <w:rFonts w:ascii="仿宋" w:hAnsi="仿宋" w:eastAsia="仿宋" w:cs="仿宋"/>
                <w:b/>
                <w:bCs/>
                <w:sz w:val="28"/>
                <w:szCs w:val="28"/>
              </w:rPr>
            </w:pPr>
            <w:r>
              <w:rPr>
                <w:rFonts w:hint="eastAsia" w:ascii="仿宋" w:hAnsi="仿宋" w:eastAsia="仿宋" w:cs="仿宋"/>
                <w:b/>
                <w:bCs/>
                <w:kern w:val="0"/>
                <w:sz w:val="28"/>
                <w:szCs w:val="28"/>
              </w:rPr>
              <w:t>项目来源</w:t>
            </w:r>
          </w:p>
        </w:tc>
        <w:tc>
          <w:tcPr>
            <w:tcW w:w="113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560" w:lineRule="atLeast"/>
              <w:jc w:val="center"/>
              <w:textAlignment w:val="center"/>
              <w:rPr>
                <w:rFonts w:ascii="仿宋" w:hAnsi="仿宋" w:eastAsia="仿宋" w:cs="仿宋"/>
                <w:b/>
                <w:bCs/>
                <w:sz w:val="28"/>
                <w:szCs w:val="28"/>
              </w:rPr>
            </w:pPr>
            <w:r>
              <w:rPr>
                <w:rFonts w:hint="eastAsia" w:ascii="仿宋" w:hAnsi="仿宋" w:eastAsia="仿宋" w:cs="仿宋"/>
                <w:b/>
                <w:bCs/>
                <w:kern w:val="0"/>
                <w:sz w:val="28"/>
                <w:szCs w:val="28"/>
              </w:rPr>
              <w:t>负责人</w:t>
            </w:r>
          </w:p>
        </w:tc>
        <w:tc>
          <w:tcPr>
            <w:tcW w:w="226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560" w:lineRule="atLeast"/>
              <w:jc w:val="center"/>
              <w:textAlignment w:val="center"/>
              <w:rPr>
                <w:rFonts w:ascii="仿宋" w:hAnsi="仿宋" w:eastAsia="仿宋" w:cs="仿宋"/>
                <w:b/>
                <w:bCs/>
                <w:sz w:val="28"/>
                <w:szCs w:val="28"/>
              </w:rPr>
            </w:pPr>
            <w:r>
              <w:rPr>
                <w:rFonts w:hint="eastAsia" w:ascii="仿宋" w:hAnsi="仿宋" w:eastAsia="仿宋" w:cs="仿宋"/>
                <w:b/>
                <w:bCs/>
                <w:kern w:val="0"/>
                <w:sz w:val="28"/>
                <w:szCs w:val="28"/>
              </w:rPr>
              <w:t>立项年度</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“金课”背景下以高阶能力培养为导向的TBL教学法在《内科护理学》课程中的探索与实践</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地、市、厅、局等政府部门社科项目-广东教育科学规划项目</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郑晶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高校课程思政教育“入脑又入心”现状研究及机 制探析：来自EEG和TMS的证据</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广东省教育厅项目-特色创新类项目</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杨一玲</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3</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基于大湾区妇幼护理情景化胜任力的本科课程开发研究</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地、市、厅、局等政府部门社科项目-广东教育科学规划项目</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蓝宇涛</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4</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高血压患者疾病感知、A型人格对情绪调节自我效能的影响-基于有调节的中介模型研究</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广东省卫生健康委员会-医学科研基金</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郑晶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5</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基于云平台数据挖掘的血液透析患者家庭血压监测行为机制研究</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纵向合作</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郑晶</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6</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疏肝调神针法治疗带状疱疹后遗神经痛的脑皮层功能可塑性的作用研究</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广东省中医药局项目-一般项目</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杨一玲</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7</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PEGDA-MPBA@Exo智能生物敷料促进糖尿病伤口愈合的作用 及机制研究</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广东省教育厅项目-青年创新人才类</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袁伟燕</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8</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Prdx4与Kindlin-2促进前列腺癌发生及转移的机制研究</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广州市科技项目-广州市应用基础研究计划项目</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袁伟燕</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9</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多元化医学专业型研究生教育质量评价体系的构建</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ascii="仿宋" w:hAnsi="仿宋" w:eastAsia="仿宋" w:cs="仿宋"/>
                <w:sz w:val="22"/>
                <w:szCs w:val="22"/>
              </w:rPr>
              <w:t>广东省研究生教育创新计划</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梁云芳</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0</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护理专业学位硕士研究生联合培养能力提升技术服务</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东莞市第八人民医院（横向课题）</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王瑞</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1</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基于智能化平台的妊娠糖尿病高危孕妇身体活动干预模式的构建和实证研究</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北京华通国康公益基金会（</w:t>
            </w:r>
            <w:r>
              <w:rPr>
                <w:rFonts w:hint="eastAsia" w:ascii="仿宋" w:hAnsi="仿宋" w:eastAsia="仿宋" w:cs="仿宋"/>
                <w:sz w:val="22"/>
                <w:szCs w:val="22"/>
                <w:lang w:val="en-US" w:eastAsia="zh-CN"/>
              </w:rPr>
              <w:t>教育部产学研项目</w:t>
            </w:r>
            <w:r>
              <w:rPr>
                <w:rFonts w:hint="eastAsia" w:ascii="仿宋" w:hAnsi="仿宋" w:eastAsia="仿宋" w:cs="仿宋"/>
                <w:sz w:val="22"/>
                <w:szCs w:val="22"/>
              </w:rPr>
              <w:t>）</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蔡舒</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2</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课程思政赋能Jeffries模拟教学在本科护生实习前培训中的应用</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上海华顾医疗科技有限公司（</w:t>
            </w:r>
            <w:r>
              <w:rPr>
                <w:rFonts w:hint="eastAsia" w:ascii="仿宋" w:hAnsi="仿宋" w:eastAsia="仿宋" w:cs="仿宋"/>
                <w:sz w:val="22"/>
                <w:szCs w:val="22"/>
                <w:lang w:val="en-US" w:eastAsia="zh-CN"/>
              </w:rPr>
              <w:t>教育部产学研项目</w:t>
            </w:r>
            <w:r>
              <w:rPr>
                <w:rFonts w:hint="eastAsia" w:ascii="仿宋" w:hAnsi="仿宋" w:eastAsia="仿宋" w:cs="仿宋"/>
                <w:sz w:val="22"/>
                <w:szCs w:val="22"/>
              </w:rPr>
              <w:t>）</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王 瑞</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3</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糖E优生（妊娠糖尿病健康管理微信小程序）开发</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江门市中心医院（横向课题）</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晏晓颖</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r>
        <w:tblPrEx>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4</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协助提升医务人员科研教学能力技术服务</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中山市第三人民医院（横向课题）</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罗翱翔</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560" w:lineRule="atLeast"/>
              <w:jc w:val="center"/>
              <w:textAlignment w:val="center"/>
              <w:rPr>
                <w:rFonts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023</w:t>
            </w:r>
            <w:r>
              <w:rPr>
                <w:rFonts w:hint="eastAsia" w:ascii="仿宋" w:hAnsi="仿宋" w:eastAsia="仿宋" w:cs="仿宋"/>
                <w:sz w:val="22"/>
                <w:szCs w:val="22"/>
              </w:rPr>
              <w:t>年</w:t>
            </w:r>
          </w:p>
        </w:tc>
      </w:tr>
    </w:tbl>
    <w:p>
      <w:pPr>
        <w:widowControl/>
        <w:ind w:left="360"/>
        <w:rPr>
          <w:rFonts w:ascii="仿宋" w:hAnsi="仿宋" w:eastAsia="仿宋" w:cs="仿宋"/>
          <w:b/>
          <w:bCs/>
          <w:color w:val="000000"/>
          <w:kern w:val="0"/>
          <w:sz w:val="32"/>
          <w:szCs w:val="32"/>
          <w:lang w:bidi="ar"/>
        </w:rPr>
      </w:pPr>
    </w:p>
    <w:p>
      <w:pPr>
        <w:widowControl/>
        <w:ind w:left="360"/>
        <w:rPr>
          <w:rFonts w:ascii="仿宋" w:hAnsi="仿宋" w:eastAsia="仿宋" w:cs="仿宋"/>
          <w:color w:val="000000"/>
          <w:kern w:val="0"/>
          <w:sz w:val="32"/>
          <w:szCs w:val="32"/>
        </w:rPr>
      </w:pPr>
      <w:r>
        <w:rPr>
          <w:rFonts w:hint="eastAsia" w:ascii="仿宋" w:hAnsi="仿宋" w:eastAsia="仿宋" w:cs="仿宋"/>
          <w:b/>
          <w:bCs/>
          <w:color w:val="000000"/>
          <w:kern w:val="0"/>
          <w:sz w:val="32"/>
          <w:szCs w:val="32"/>
          <w:lang w:bidi="ar"/>
        </w:rPr>
        <w:t>（四）</w:t>
      </w:r>
      <w:r>
        <w:rPr>
          <w:rFonts w:hint="eastAsia" w:ascii="仿宋" w:hAnsi="仿宋" w:eastAsia="仿宋" w:cs="仿宋"/>
          <w:b/>
          <w:bCs/>
          <w:color w:val="000000"/>
          <w:kern w:val="0"/>
          <w:sz w:val="32"/>
          <w:szCs w:val="32"/>
        </w:rPr>
        <w:t>在国际交流改革方面</w:t>
      </w:r>
    </w:p>
    <w:p>
      <w:pPr>
        <w:pStyle w:val="5"/>
        <w:widowControl/>
        <w:spacing w:beforeAutospacing="0" w:afterAutospacing="0" w:line="560" w:lineRule="atLeast"/>
        <w:ind w:firstLine="640" w:firstLineChars="200"/>
        <w:jc w:val="both"/>
        <w:rPr>
          <w:rFonts w:ascii="仿宋" w:hAnsi="仿宋" w:eastAsia="仿宋" w:cs="仿宋"/>
          <w:bCs/>
          <w:sz w:val="32"/>
          <w:szCs w:val="32"/>
        </w:rPr>
      </w:pPr>
      <w:r>
        <w:rPr>
          <w:rFonts w:hint="eastAsia" w:ascii="仿宋" w:hAnsi="仿宋" w:eastAsia="仿宋" w:cs="宋体"/>
          <w:sz w:val="32"/>
          <w:szCs w:val="32"/>
        </w:rPr>
        <w:t>学院持续推进国际交流与合作</w:t>
      </w:r>
      <w:r>
        <w:rPr>
          <w:rFonts w:hint="eastAsia" w:ascii="仿宋" w:hAnsi="仿宋" w:eastAsia="仿宋" w:cs="仿宋"/>
          <w:bCs/>
          <w:sz w:val="32"/>
          <w:szCs w:val="32"/>
        </w:rPr>
        <w:t>，</w:t>
      </w:r>
      <w:r>
        <w:rPr>
          <w:rFonts w:ascii="仿宋" w:hAnsi="仿宋" w:eastAsia="仿宋" w:cs="仿宋"/>
          <w:bCs/>
          <w:sz w:val="32"/>
          <w:szCs w:val="32"/>
        </w:rPr>
        <w:t>依照“《广东药科大学因公临时出国（境）管理规定（修订）》的通知”（广药大〔2020〕124号文件）相关精神，精心组织和安排研究生和导师参加国际学术交流活动。学位点与加拿大渥太华大学护理学院</w:t>
      </w:r>
      <w:r>
        <w:rPr>
          <w:rFonts w:hint="eastAsia" w:ascii="仿宋" w:hAnsi="仿宋" w:eastAsia="仿宋" w:cs="仿宋"/>
          <w:bCs/>
          <w:sz w:val="32"/>
          <w:szCs w:val="32"/>
        </w:rPr>
        <w:t>、</w:t>
      </w:r>
      <w:r>
        <w:rPr>
          <w:rFonts w:ascii="仿宋" w:hAnsi="仿宋" w:eastAsia="仿宋" w:cs="仿宋"/>
          <w:bCs/>
          <w:sz w:val="32"/>
          <w:szCs w:val="32"/>
        </w:rPr>
        <w:t>加拿大渥太华大学健康与护理研究中心</w:t>
      </w:r>
      <w:r>
        <w:rPr>
          <w:rFonts w:hint="eastAsia" w:ascii="仿宋" w:hAnsi="仿宋" w:eastAsia="仿宋" w:cs="仿宋"/>
          <w:bCs/>
          <w:sz w:val="32"/>
          <w:szCs w:val="32"/>
        </w:rPr>
        <w:t>和</w:t>
      </w:r>
      <w:r>
        <w:rPr>
          <w:rFonts w:ascii="仿宋" w:hAnsi="仿宋" w:eastAsia="仿宋" w:cs="仿宋"/>
          <w:bCs/>
          <w:sz w:val="32"/>
          <w:szCs w:val="32"/>
        </w:rPr>
        <w:t>英国哈达斯菲尔大学人类与健康科学学院护理与助产系</w:t>
      </w:r>
      <w:r>
        <w:rPr>
          <w:rFonts w:hint="eastAsia" w:ascii="仿宋" w:hAnsi="仿宋" w:eastAsia="仿宋" w:cs="仿宋"/>
          <w:bCs/>
          <w:sz w:val="32"/>
          <w:szCs w:val="32"/>
        </w:rPr>
        <w:t>等</w:t>
      </w:r>
      <w:r>
        <w:rPr>
          <w:rFonts w:ascii="仿宋" w:hAnsi="仿宋" w:eastAsia="仿宋" w:cs="仿宋"/>
          <w:bCs/>
          <w:sz w:val="32"/>
          <w:szCs w:val="32"/>
        </w:rPr>
        <w:t>建立了良好合作关系，邀请了Denise Harrison、Wendy Gifford、Shiwu Wen等教授为护理专业硕士研究生授课和开展形式多样的学术讲座，开拓护理专业硕士研究生的国际视野，不断提升其学术研究创新能力。学位点还选派研究生和研究生导师到渥太华大学、台湾辅英科技大学以及内地知名院校进行学术交流或访学。研究生多次在国际学术会议上进行论文口头汇报或壁报交流，展示研究生在护理科研领域所获得的研究成果。同时，依托广东药科大学海外名师项目，我院研究生导师与渥太华大学教授联合发表了高水平论文2篇（IF最高10.24）。</w:t>
      </w:r>
    </w:p>
    <w:p>
      <w:pPr>
        <w:spacing w:line="560" w:lineRule="atLeast"/>
        <w:rPr>
          <w:rFonts w:ascii="黑体" w:hAnsi="黑体" w:eastAsia="黑体" w:cs="黑体"/>
          <w:b/>
          <w:bCs/>
          <w:sz w:val="32"/>
          <w:szCs w:val="32"/>
        </w:rPr>
      </w:pPr>
      <w:r>
        <w:rPr>
          <w:rFonts w:hint="eastAsia" w:ascii="黑体" w:hAnsi="黑体" w:eastAsia="黑体" w:cs="黑体"/>
          <w:b/>
          <w:bCs/>
          <w:sz w:val="32"/>
          <w:szCs w:val="32"/>
        </w:rPr>
        <w:t>五、教育质量评估与分析</w:t>
      </w:r>
    </w:p>
    <w:p>
      <w:pPr>
        <w:spacing w:line="560" w:lineRule="atLeast"/>
        <w:ind w:firstLine="640" w:firstLineChars="200"/>
        <w:rPr>
          <w:rFonts w:ascii="仿宋" w:hAnsi="仿宋" w:eastAsia="仿宋" w:cs="仿宋"/>
          <w:kern w:val="0"/>
          <w:sz w:val="32"/>
          <w:szCs w:val="32"/>
        </w:rPr>
      </w:pPr>
      <w:r>
        <w:rPr>
          <w:rFonts w:hint="eastAsia" w:ascii="仿宋" w:hAnsi="仿宋" w:eastAsia="仿宋" w:cs="仿宋"/>
          <w:sz w:val="32"/>
          <w:szCs w:val="32"/>
        </w:rPr>
        <w:t>学位点自2014年获得护理专业硕士学位授权，2015年招收第一届研究生以来，共招收了2</w:t>
      </w:r>
      <w:r>
        <w:rPr>
          <w:rFonts w:ascii="仿宋" w:hAnsi="仿宋" w:eastAsia="仿宋" w:cs="仿宋"/>
          <w:sz w:val="32"/>
          <w:szCs w:val="32"/>
        </w:rPr>
        <w:t>55</w:t>
      </w:r>
      <w:r>
        <w:rPr>
          <w:rFonts w:hint="eastAsia" w:ascii="仿宋" w:hAnsi="仿宋" w:eastAsia="仿宋" w:cs="仿宋"/>
          <w:sz w:val="32"/>
          <w:szCs w:val="32"/>
        </w:rPr>
        <w:t>名研究生；到202</w:t>
      </w:r>
      <w:r>
        <w:rPr>
          <w:rFonts w:ascii="仿宋" w:hAnsi="仿宋" w:eastAsia="仿宋" w:cs="仿宋"/>
          <w:sz w:val="32"/>
          <w:szCs w:val="32"/>
        </w:rPr>
        <w:t>3</w:t>
      </w:r>
      <w:r>
        <w:rPr>
          <w:rFonts w:hint="eastAsia" w:ascii="仿宋" w:hAnsi="仿宋" w:eastAsia="仿宋" w:cs="仿宋"/>
          <w:sz w:val="32"/>
          <w:szCs w:val="32"/>
        </w:rPr>
        <w:t>年有六届毕业生共</w:t>
      </w:r>
      <w:r>
        <w:rPr>
          <w:rFonts w:ascii="仿宋" w:hAnsi="仿宋" w:eastAsia="仿宋" w:cs="仿宋"/>
          <w:sz w:val="32"/>
          <w:szCs w:val="32"/>
        </w:rPr>
        <w:t>110</w:t>
      </w:r>
      <w:r>
        <w:rPr>
          <w:rFonts w:hint="eastAsia" w:ascii="仿宋" w:hAnsi="仿宋" w:eastAsia="仿宋" w:cs="仿宋"/>
          <w:sz w:val="32"/>
          <w:szCs w:val="32"/>
        </w:rPr>
        <w:t>人，</w:t>
      </w:r>
      <w:r>
        <w:rPr>
          <w:rFonts w:hint="eastAsia" w:ascii="仿宋" w:hAnsi="仿宋" w:eastAsia="仿宋" w:cs="仿宋"/>
          <w:bCs/>
          <w:kern w:val="0"/>
          <w:sz w:val="32"/>
          <w:szCs w:val="32"/>
        </w:rPr>
        <w:t>就业率和专业对口率均100%，目前获专科护士资格3人、读博2人；</w:t>
      </w:r>
      <w:r>
        <w:rPr>
          <w:rFonts w:ascii="仿宋" w:hAnsi="仿宋" w:eastAsia="仿宋" w:cs="仿宋"/>
          <w:bCs/>
          <w:kern w:val="0"/>
          <w:sz w:val="32"/>
          <w:szCs w:val="32"/>
        </w:rPr>
        <w:t>98</w:t>
      </w:r>
      <w:r>
        <w:rPr>
          <w:rFonts w:hint="eastAsia" w:ascii="仿宋" w:hAnsi="仿宋" w:eastAsia="仿宋" w:cs="仿宋"/>
          <w:bCs/>
          <w:kern w:val="0"/>
          <w:sz w:val="32"/>
          <w:szCs w:val="32"/>
        </w:rPr>
        <w:t>人在基层一线工作，4人已成长为护士长。</w:t>
      </w:r>
    </w:p>
    <w:p>
      <w:pPr>
        <w:spacing w:line="560" w:lineRule="atLeast"/>
        <w:ind w:right="-168" w:rightChars="-80"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学位点2018年顺利通过教育部护理硕士专业学位授权点专项评估；根据全国医学专业学位研究生教育指导委员会秘书处发的“广东药科大学护理硕士专业授权点专项评估分析报告”显示：2018年护理硕士专业学位专硕评估学位授权点共有58所，学位点的平均得分为77分，组内排名第6位。</w:t>
      </w:r>
    </w:p>
    <w:p>
      <w:pPr>
        <w:autoSpaceDN w:val="0"/>
        <w:spacing w:line="560" w:lineRule="atLeast"/>
        <w:ind w:firstLine="640" w:firstLineChars="200"/>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学位点严格按照《广东药科大学硕士学位授予工作细则》（广药大〔2017〕11 号）的要求，对所有拟申请学位的论文都必须通过由学位办指定的“学位论文学术不端行为检测系统”检测。申请人提交终检的学位论文应当是经导师签字同意的最终定稿电子版，不得改动。如发现提交的纸质学位论文与经终检合格的学位论文电子版不一致的，本次答辩成绩无效，在不少于半年的期间内修改后方可重新提交论文、申请学位；已授予学位的，提请校学位评定委员会撤销学位。</w:t>
      </w:r>
    </w:p>
    <w:p>
      <w:pPr>
        <w:spacing w:line="560" w:lineRule="atLeast"/>
        <w:ind w:firstLine="560"/>
        <w:rPr>
          <w:rFonts w:ascii="仿宋" w:hAnsi="仿宋" w:eastAsia="仿宋" w:cs="仿宋"/>
          <w:kern w:val="0"/>
          <w:sz w:val="32"/>
          <w:szCs w:val="32"/>
        </w:rPr>
      </w:pPr>
      <w:r>
        <w:rPr>
          <w:rFonts w:hint="eastAsia" w:ascii="仿宋" w:hAnsi="仿宋" w:eastAsia="仿宋" w:cs="仿宋"/>
          <w:kern w:val="0"/>
          <w:sz w:val="32"/>
          <w:szCs w:val="32"/>
        </w:rPr>
        <w:t>学位论文选题来源于慢性病护理、母婴护理和重症监护临床工作的实际问题，鼓励新技术、新项目的开发及应用，研究成果能充分体现学生用科学方法解决临床难题的能力。学位论文均具有临床应用价值，对改进现有临床措施提供科学可靠的数据支持。三届毕业生的学位论文答辩专家一致认为本学位点论文成果在慢性病患者管理及康复指导、母婴疾病及并发症的早期预防和干预 、危重症患者的监护及护理措施改进等方面均具有较强的临床决策指导性。</w:t>
      </w:r>
    </w:p>
    <w:p>
      <w:pPr>
        <w:spacing w:line="560" w:lineRule="atLeast"/>
        <w:ind w:right="-168" w:rightChars="-80" w:firstLine="640" w:firstLineChars="200"/>
        <w:rPr>
          <w:rFonts w:ascii="仿宋" w:hAnsi="仿宋" w:eastAsia="仿宋" w:cs="仿宋"/>
          <w:kern w:val="0"/>
          <w:sz w:val="32"/>
          <w:szCs w:val="32"/>
        </w:rPr>
      </w:pPr>
      <w:r>
        <w:rPr>
          <w:rFonts w:hint="eastAsia" w:ascii="仿宋" w:hAnsi="仿宋" w:eastAsia="仿宋" w:cs="仿宋"/>
          <w:kern w:val="0"/>
          <w:sz w:val="32"/>
          <w:szCs w:val="32"/>
        </w:rPr>
        <w:t>学位点启用中国知网“学位论文学术不端检测系统”对每篇论文严格查重，重复率不超过18%。所有学位论文采用</w:t>
      </w:r>
      <w:r>
        <w:fldChar w:fldCharType="begin"/>
      </w:r>
      <w:r>
        <w:instrText xml:space="preserve"> HYPERLINK "http://www.cdgdc.edu.cn/xwyyjsjyxx/gywm/zxjj/277079.shtml" \h </w:instrText>
      </w:r>
      <w:r>
        <w:fldChar w:fldCharType="separate"/>
      </w:r>
      <w:r>
        <w:rPr>
          <w:rFonts w:hint="eastAsia" w:ascii="仿宋" w:hAnsi="仿宋" w:eastAsia="仿宋" w:cs="仿宋"/>
          <w:kern w:val="0"/>
          <w:sz w:val="32"/>
          <w:szCs w:val="32"/>
        </w:rPr>
        <w:t>教育部学位与研究生教育发展中心</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“学位论文网上评议开放平台”进行双盲评审，双盲评审通过率为100%。202</w:t>
      </w:r>
      <w:r>
        <w:rPr>
          <w:rFonts w:ascii="仿宋" w:hAnsi="仿宋" w:eastAsia="仿宋" w:cs="仿宋"/>
          <w:kern w:val="0"/>
          <w:sz w:val="32"/>
          <w:szCs w:val="32"/>
        </w:rPr>
        <w:t>3</w:t>
      </w:r>
      <w:r>
        <w:rPr>
          <w:rFonts w:hint="eastAsia" w:ascii="仿宋" w:hAnsi="仿宋" w:eastAsia="仿宋" w:cs="仿宋"/>
          <w:kern w:val="0"/>
          <w:sz w:val="32"/>
          <w:szCs w:val="32"/>
        </w:rPr>
        <w:t>年每篇学位论文的重复率不超过10%，双盲评审通过率为100%，双盲评审成绩均为85分以上的占</w:t>
      </w:r>
      <w:r>
        <w:rPr>
          <w:rFonts w:ascii="仿宋" w:hAnsi="仿宋" w:eastAsia="仿宋" w:cs="仿宋"/>
          <w:kern w:val="0"/>
          <w:sz w:val="32"/>
          <w:szCs w:val="32"/>
        </w:rPr>
        <w:t>28</w:t>
      </w:r>
      <w:r>
        <w:rPr>
          <w:rFonts w:hint="eastAsia" w:ascii="仿宋" w:hAnsi="仿宋" w:eastAsia="仿宋" w:cs="仿宋"/>
          <w:kern w:val="0"/>
          <w:sz w:val="32"/>
          <w:szCs w:val="32"/>
        </w:rPr>
        <w:t>.</w:t>
      </w:r>
      <w:r>
        <w:rPr>
          <w:rFonts w:ascii="仿宋" w:hAnsi="仿宋" w:eastAsia="仿宋" w:cs="仿宋"/>
          <w:kern w:val="0"/>
          <w:sz w:val="32"/>
          <w:szCs w:val="32"/>
        </w:rPr>
        <w:t>8</w:t>
      </w:r>
      <w:r>
        <w:rPr>
          <w:rFonts w:hint="eastAsia" w:ascii="仿宋" w:hAnsi="仿宋" w:eastAsia="仿宋" w:cs="仿宋"/>
          <w:kern w:val="0"/>
          <w:sz w:val="32"/>
          <w:szCs w:val="32"/>
        </w:rPr>
        <w:t>%，其中3篇论文双盲评审成绩达90分以上。</w:t>
      </w:r>
    </w:p>
    <w:p>
      <w:pPr>
        <w:spacing w:line="560" w:lineRule="atLeast"/>
        <w:rPr>
          <w:rFonts w:ascii="黑体" w:hAnsi="黑体" w:eastAsia="黑体" w:cs="黑体"/>
          <w:b/>
          <w:bCs/>
          <w:color w:val="FF0000"/>
          <w:sz w:val="32"/>
          <w:szCs w:val="32"/>
        </w:rPr>
      </w:pPr>
      <w:r>
        <w:rPr>
          <w:rFonts w:hint="eastAsia" w:ascii="黑体" w:hAnsi="黑体" w:eastAsia="黑体" w:cs="黑体"/>
          <w:b/>
          <w:bCs/>
          <w:sz w:val="32"/>
          <w:szCs w:val="32"/>
        </w:rPr>
        <w:t>六、改进措施</w:t>
      </w:r>
    </w:p>
    <w:p>
      <w:pPr>
        <w:pStyle w:val="11"/>
        <w:spacing w:line="560" w:lineRule="atLeast"/>
        <w:ind w:firstLine="640"/>
        <w:jc w:val="left"/>
        <w:rPr>
          <w:rFonts w:ascii="仿宋" w:hAnsi="仿宋" w:eastAsia="仿宋" w:cs="仿宋"/>
          <w:color w:val="000000"/>
          <w:kern w:val="0"/>
          <w:sz w:val="32"/>
          <w:szCs w:val="32"/>
        </w:rPr>
      </w:pPr>
      <w:r>
        <w:rPr>
          <w:rFonts w:hint="eastAsia" w:ascii="仿宋" w:hAnsi="仿宋" w:eastAsia="仿宋" w:cs="仿宋"/>
          <w:bCs/>
          <w:sz w:val="32"/>
          <w:szCs w:val="32"/>
        </w:rPr>
        <w:t>1．加强研究生导师队伍建设。</w:t>
      </w:r>
      <w:r>
        <w:rPr>
          <w:rFonts w:hint="eastAsia" w:ascii="仿宋" w:hAnsi="仿宋" w:eastAsia="仿宋" w:cs="仿宋"/>
          <w:color w:val="000000"/>
          <w:kern w:val="0"/>
          <w:sz w:val="32"/>
          <w:szCs w:val="32"/>
        </w:rPr>
        <w:t>提高导师护理博士学位比例、增加科研经费。通过选送优秀导师赴国内外高校在职攻读博士学位，或从国内外引进高水平的导师（1～2名）；与学校药学、信息工程学和基础医学等优势学科联合申报高水平科研课题及科研平台。优化导师队伍建设，提升导师专业素质和指导能力。</w:t>
      </w:r>
    </w:p>
    <w:p>
      <w:pPr>
        <w:pStyle w:val="11"/>
        <w:spacing w:line="560" w:lineRule="atLeast"/>
        <w:ind w:firstLine="640"/>
        <w:jc w:val="left"/>
        <w:rPr>
          <w:rFonts w:ascii="仿宋" w:hAnsi="仿宋" w:eastAsia="仿宋" w:cs="仿宋"/>
          <w:color w:val="000000"/>
          <w:kern w:val="0"/>
          <w:sz w:val="32"/>
          <w:szCs w:val="32"/>
        </w:rPr>
      </w:pPr>
      <w:r>
        <w:rPr>
          <w:rFonts w:hint="eastAsia" w:ascii="仿宋" w:hAnsi="仿宋" w:eastAsia="仿宋" w:cs="仿宋"/>
          <w:bCs/>
          <w:sz w:val="32"/>
          <w:szCs w:val="32"/>
        </w:rPr>
        <w:t>2．提高学位点国际化水平。</w:t>
      </w:r>
      <w:r>
        <w:rPr>
          <w:rFonts w:hint="eastAsia" w:ascii="仿宋" w:hAnsi="仿宋" w:eastAsia="仿宋" w:cs="仿宋"/>
          <w:color w:val="000000"/>
          <w:kern w:val="0"/>
          <w:sz w:val="32"/>
          <w:szCs w:val="32"/>
        </w:rPr>
        <w:t>继续资助在读研究生参加国外高水平学术会议，开展学术交流，赴知名高校进行短期的交换学习，支持教师赴国外一流高校和医院、社区卫生中心访学进修，在慢性病护理、母婴与儿童护理和交叉护理等培养方向领域开展研究课题与项目合作、论文发表。</w:t>
      </w:r>
    </w:p>
    <w:p>
      <w:pPr>
        <w:pStyle w:val="11"/>
        <w:spacing w:line="560" w:lineRule="atLeast"/>
        <w:ind w:firstLine="640"/>
        <w:jc w:val="left"/>
        <w:rPr>
          <w:rFonts w:hint="eastAsia" w:ascii="仿宋" w:hAnsi="仿宋" w:eastAsia="仿宋" w:cs="仿宋"/>
          <w:sz w:val="32"/>
          <w:szCs w:val="32"/>
        </w:rPr>
      </w:pPr>
      <w:r>
        <w:rPr>
          <w:rFonts w:hint="eastAsia" w:ascii="仿宋" w:hAnsi="仿宋" w:eastAsia="仿宋" w:cs="仿宋"/>
          <w:bCs/>
          <w:sz w:val="32"/>
          <w:szCs w:val="32"/>
        </w:rPr>
        <w:t>3．加大教改力度，优化人才培养模式。深</w:t>
      </w:r>
      <w:r>
        <w:rPr>
          <w:rFonts w:hint="eastAsia" w:ascii="仿宋" w:hAnsi="仿宋" w:eastAsia="仿宋" w:cs="仿宋"/>
          <w:sz w:val="32"/>
          <w:szCs w:val="32"/>
        </w:rPr>
        <w:t>入学习和借鉴国内外先进教育理念和办学经验，优化教师教育理念，强化教改意识。探索校企（行业）协同育人创新模式，提升我校的人才培养质量和护理教育品牌建设。以教育规律为指导，利用现代信息技术和平台，开发立体化教材建设、案例库等在线学习资源建设；积极申报护理专业学位研究生教育综合改革、人才培养模式创新实验区改革等教改项目，进行教育模式、教学方法、研究生自主学习能力的培养、人才培养质量评价等方面的改革与探索。</w:t>
      </w:r>
    </w:p>
    <w:p>
      <w:pPr>
        <w:pStyle w:val="11"/>
        <w:spacing w:line="560" w:lineRule="atLeast"/>
        <w:ind w:firstLine="640"/>
        <w:jc w:val="left"/>
        <w:rPr>
          <w:rFonts w:ascii="仿宋" w:hAnsi="仿宋" w:eastAsia="仿宋" w:cs="仿宋"/>
          <w:sz w:val="32"/>
          <w:szCs w:val="32"/>
        </w:rPr>
      </w:pPr>
      <w:r>
        <w:rPr>
          <w:rFonts w:hint="eastAsia" w:ascii="仿宋" w:hAnsi="仿宋" w:eastAsia="仿宋" w:cs="仿宋"/>
          <w:sz w:val="32"/>
          <w:szCs w:val="32"/>
        </w:rPr>
        <w:t>学位点将以《国务院关于促进健康服务业发展的若干意见》</w:t>
      </w:r>
      <w:r>
        <w:rPr>
          <w:rFonts w:ascii="仿宋" w:hAnsi="仿宋" w:eastAsia="仿宋" w:cs="仿宋"/>
          <w:sz w:val="32"/>
          <w:szCs w:val="32"/>
        </w:rPr>
        <w:t>（国发〔2013〕40号）</w:t>
      </w:r>
      <w:r>
        <w:rPr>
          <w:rFonts w:hint="eastAsia" w:ascii="仿宋" w:hAnsi="仿宋" w:eastAsia="仿宋" w:cs="仿宋"/>
          <w:sz w:val="32"/>
          <w:szCs w:val="32"/>
        </w:rPr>
        <w:t>、《国家中长期教育改革和发展规划纲要（2021～2025年）》、《全国护理事业发展规划（2021～2025年）》和《粤港澳大湾区发展规划纲要》等文件精神和学校建设高水平大学思路为指导，以社会健康和护理</w:t>
      </w:r>
      <w:r>
        <w:rPr>
          <w:rFonts w:hint="eastAsia" w:ascii="仿宋" w:hAnsi="仿宋" w:eastAsia="仿宋" w:cs="仿宋"/>
          <w:sz w:val="32"/>
          <w:szCs w:val="32"/>
          <w:lang w:val="en-US" w:eastAsia="zh-CN"/>
        </w:rPr>
        <w:t>行业</w:t>
      </w:r>
      <w:r>
        <w:rPr>
          <w:rFonts w:hint="eastAsia" w:ascii="仿宋" w:hAnsi="仿宋" w:eastAsia="仿宋" w:cs="仿宋"/>
          <w:sz w:val="32"/>
          <w:szCs w:val="32"/>
        </w:rPr>
        <w:t>发展需求为导向，以高水平护理专业学位硕士研究生人才培养为目标，以学科建设为引领，以导师队伍、实践基地建设、人才培养过程和组织管理为抓手，提高人才培养质量，促进护理专业和学科发展。</w:t>
      </w:r>
    </w:p>
    <w:p>
      <w:pPr>
        <w:spacing w:line="560" w:lineRule="atLeast"/>
        <w:rPr>
          <w:sz w:val="32"/>
          <w:szCs w:val="32"/>
        </w:rPr>
      </w:pPr>
    </w:p>
    <w:sectPr>
      <w:footerReference r:id="rId4" w:type="default"/>
      <w:pgSz w:w="11906" w:h="16838"/>
      <w:pgMar w:top="1440" w:right="1361" w:bottom="1247"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2779395</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85pt;margin-top:0pt;height:144pt;width:144pt;mso-position-horizontal-relative:margin;mso-wrap-style:none;z-index:251659264;mso-width-relative:page;mso-height-relative:page;" filled="f" stroked="f" coordsize="21600,21600" o:gfxdata="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uq68jVAAAACAEAAA8AAAAAAAAAAQAgAAAAIgAAAGRycy9kb3ducmV2LnhtbFBLAQIUABQA&#10;AAAIAIdO4kDKv6PlLAIAAFUEAAAOAAAAAAAAAAEAIAAAACQBAABkcnMvZTJvRG9jLnhtbFBLBQYA&#10;AAAABgAGAFkBAADC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07"/>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posOffset>2776855</wp:posOffset>
              </wp:positionH>
              <wp:positionV relativeFrom="paragraph">
                <wp:posOffset>-1270</wp:posOffset>
              </wp:positionV>
              <wp:extent cx="294005" cy="182880"/>
              <wp:effectExtent l="0" t="0" r="11430" b="7620"/>
              <wp:wrapNone/>
              <wp:docPr id="960015797" name="文本框 960015797"/>
              <wp:cNvGraphicFramePr/>
              <a:graphic xmlns:a="http://schemas.openxmlformats.org/drawingml/2006/main">
                <a:graphicData uri="http://schemas.microsoft.com/office/word/2010/wordprocessingShape">
                  <wps:wsp>
                    <wps:cNvSpPr txBox="1"/>
                    <wps:spPr>
                      <a:xfrm>
                        <a:off x="0" y="0"/>
                        <a:ext cx="293914" cy="182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8.65pt;margin-top:-0.1pt;height:14.4pt;width:23.15pt;mso-position-horizontal-relative:margin;z-index:251660288;mso-width-relative:page;mso-height-relative:page;" filled="f" stroked="f" coordsize="21600,21600" o:gfxdata="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nwwT9gAAAAIAQAADwAAAAAAAAABACAAAAAiAAAAZHJzL2Rv&#10;d25yZXYueG1sUEsBAhQAFAAAAAgAh07iQE/mm2c6AgAAZQQAAA4AAAAAAAAAAQAgAAAAJwEAAGRy&#10;cy9lMm9Eb2MueG1sUEsFBgAAAAAGAAYAWQEAANMFAAAAAA==&#10;">
              <v:fill on="f" focussize="0,0"/>
              <v:stroke on="f" weight="0.5pt"/>
              <v:imagedata o:title=""/>
              <o:lock v:ext="edit" aspectratio="f"/>
              <v:textbox inset="0mm,0mm,0mm,0mm">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48ACD"/>
    <w:multiLevelType w:val="singleLevel"/>
    <w:tmpl w:val="C6648ACD"/>
    <w:lvl w:ilvl="0" w:tentative="0">
      <w:start w:val="2"/>
      <w:numFmt w:val="chineseCounting"/>
      <w:suff w:val="nothing"/>
      <w:lvlText w:val="（%1）"/>
      <w:lvlJc w:val="left"/>
      <w:pPr>
        <w:ind w:left="-10"/>
      </w:pPr>
      <w:rPr>
        <w:rFonts w:hint="eastAsia"/>
      </w:rPr>
    </w:lvl>
  </w:abstractNum>
  <w:abstractNum w:abstractNumId="1">
    <w:nsid w:val="EAACE162"/>
    <w:multiLevelType w:val="singleLevel"/>
    <w:tmpl w:val="EAACE16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MGY5ZDkyMzU1ODMxMGRkYjc4NzZkYmMyYjk1OTAifQ=="/>
  </w:docVars>
  <w:rsids>
    <w:rsidRoot w:val="5FC83136"/>
    <w:rsid w:val="00110A23"/>
    <w:rsid w:val="0029133C"/>
    <w:rsid w:val="0033140E"/>
    <w:rsid w:val="00356A35"/>
    <w:rsid w:val="003616AB"/>
    <w:rsid w:val="003A79DD"/>
    <w:rsid w:val="003D0362"/>
    <w:rsid w:val="00405F04"/>
    <w:rsid w:val="005C2DB8"/>
    <w:rsid w:val="005E363F"/>
    <w:rsid w:val="00665CAC"/>
    <w:rsid w:val="007A627C"/>
    <w:rsid w:val="008508F8"/>
    <w:rsid w:val="008620D6"/>
    <w:rsid w:val="00915F3A"/>
    <w:rsid w:val="00C87044"/>
    <w:rsid w:val="00CF4EC3"/>
    <w:rsid w:val="00F718C8"/>
    <w:rsid w:val="01D814B8"/>
    <w:rsid w:val="01EA78C5"/>
    <w:rsid w:val="01F23AE1"/>
    <w:rsid w:val="0219035B"/>
    <w:rsid w:val="028F3E69"/>
    <w:rsid w:val="04584421"/>
    <w:rsid w:val="05E5264C"/>
    <w:rsid w:val="06D30C02"/>
    <w:rsid w:val="0A4523D3"/>
    <w:rsid w:val="0A993162"/>
    <w:rsid w:val="0AD62C6D"/>
    <w:rsid w:val="0BBD6E95"/>
    <w:rsid w:val="0D3D6103"/>
    <w:rsid w:val="0DFC21D4"/>
    <w:rsid w:val="0E3B0843"/>
    <w:rsid w:val="0E4E68A7"/>
    <w:rsid w:val="0EA91468"/>
    <w:rsid w:val="0FF82FAA"/>
    <w:rsid w:val="104C3BBB"/>
    <w:rsid w:val="11107BEC"/>
    <w:rsid w:val="116A032A"/>
    <w:rsid w:val="11B26F3B"/>
    <w:rsid w:val="127F2E77"/>
    <w:rsid w:val="13FC295A"/>
    <w:rsid w:val="14C949D9"/>
    <w:rsid w:val="14D56D65"/>
    <w:rsid w:val="15B8036E"/>
    <w:rsid w:val="16023153"/>
    <w:rsid w:val="187942DA"/>
    <w:rsid w:val="191F3A89"/>
    <w:rsid w:val="1941209F"/>
    <w:rsid w:val="195767ED"/>
    <w:rsid w:val="19B87A6C"/>
    <w:rsid w:val="1B0F35D0"/>
    <w:rsid w:val="1B3873B2"/>
    <w:rsid w:val="1BAF745E"/>
    <w:rsid w:val="1BC53330"/>
    <w:rsid w:val="1BE72BAC"/>
    <w:rsid w:val="1D4A7E30"/>
    <w:rsid w:val="1F0170B2"/>
    <w:rsid w:val="1F3039DC"/>
    <w:rsid w:val="201912DA"/>
    <w:rsid w:val="209151E2"/>
    <w:rsid w:val="21CF1259"/>
    <w:rsid w:val="21FE3107"/>
    <w:rsid w:val="221A10CE"/>
    <w:rsid w:val="24987E03"/>
    <w:rsid w:val="24C70FE7"/>
    <w:rsid w:val="24EE55DD"/>
    <w:rsid w:val="251B0230"/>
    <w:rsid w:val="2534533D"/>
    <w:rsid w:val="25FB08BC"/>
    <w:rsid w:val="26117D09"/>
    <w:rsid w:val="263E45BE"/>
    <w:rsid w:val="28697330"/>
    <w:rsid w:val="286F2F10"/>
    <w:rsid w:val="28981CEB"/>
    <w:rsid w:val="28FB4DE0"/>
    <w:rsid w:val="292A0A24"/>
    <w:rsid w:val="292C112D"/>
    <w:rsid w:val="2935187A"/>
    <w:rsid w:val="29733BB3"/>
    <w:rsid w:val="2A3E48A8"/>
    <w:rsid w:val="2CCC2391"/>
    <w:rsid w:val="2D826A23"/>
    <w:rsid w:val="2DFF2FDB"/>
    <w:rsid w:val="2E026037"/>
    <w:rsid w:val="2E210486"/>
    <w:rsid w:val="2EC86378"/>
    <w:rsid w:val="2F8443AC"/>
    <w:rsid w:val="306E486A"/>
    <w:rsid w:val="308570DA"/>
    <w:rsid w:val="318340C5"/>
    <w:rsid w:val="31FA1072"/>
    <w:rsid w:val="32E34EAC"/>
    <w:rsid w:val="35621232"/>
    <w:rsid w:val="35851EBC"/>
    <w:rsid w:val="36A61CE0"/>
    <w:rsid w:val="378A27A5"/>
    <w:rsid w:val="37CE5F0A"/>
    <w:rsid w:val="392515E2"/>
    <w:rsid w:val="39F42F75"/>
    <w:rsid w:val="3AF708A0"/>
    <w:rsid w:val="3B2307BE"/>
    <w:rsid w:val="3B5743FE"/>
    <w:rsid w:val="3BDC7574"/>
    <w:rsid w:val="3C296D78"/>
    <w:rsid w:val="3F4C086F"/>
    <w:rsid w:val="3F585785"/>
    <w:rsid w:val="3F94095D"/>
    <w:rsid w:val="406B1F93"/>
    <w:rsid w:val="40F57B16"/>
    <w:rsid w:val="411E7DD1"/>
    <w:rsid w:val="41A75102"/>
    <w:rsid w:val="422F0D91"/>
    <w:rsid w:val="431D1BB5"/>
    <w:rsid w:val="432D45C9"/>
    <w:rsid w:val="437D2120"/>
    <w:rsid w:val="4541147C"/>
    <w:rsid w:val="45A31A35"/>
    <w:rsid w:val="47381B05"/>
    <w:rsid w:val="47BB5CF3"/>
    <w:rsid w:val="47C523BE"/>
    <w:rsid w:val="47CB0D34"/>
    <w:rsid w:val="493856CF"/>
    <w:rsid w:val="496557B7"/>
    <w:rsid w:val="49E42B0E"/>
    <w:rsid w:val="4A4B0FB2"/>
    <w:rsid w:val="4B94493A"/>
    <w:rsid w:val="4BFE7801"/>
    <w:rsid w:val="4C2E5CB2"/>
    <w:rsid w:val="4E33102D"/>
    <w:rsid w:val="4ECC3718"/>
    <w:rsid w:val="4F1709D2"/>
    <w:rsid w:val="4F532488"/>
    <w:rsid w:val="4F6F7A5D"/>
    <w:rsid w:val="518419CD"/>
    <w:rsid w:val="52111373"/>
    <w:rsid w:val="528A12E1"/>
    <w:rsid w:val="53624654"/>
    <w:rsid w:val="53B17F72"/>
    <w:rsid w:val="541C2F52"/>
    <w:rsid w:val="55B760B4"/>
    <w:rsid w:val="55D37279"/>
    <w:rsid w:val="55DA7495"/>
    <w:rsid w:val="55EA6CE7"/>
    <w:rsid w:val="56DE2DD9"/>
    <w:rsid w:val="58497B09"/>
    <w:rsid w:val="58E331EE"/>
    <w:rsid w:val="58F34286"/>
    <w:rsid w:val="5A624C4D"/>
    <w:rsid w:val="5C676994"/>
    <w:rsid w:val="5D9A498A"/>
    <w:rsid w:val="5DCF5996"/>
    <w:rsid w:val="5DD31DDB"/>
    <w:rsid w:val="5E853056"/>
    <w:rsid w:val="5F430F3B"/>
    <w:rsid w:val="5F905A19"/>
    <w:rsid w:val="5F94552C"/>
    <w:rsid w:val="5FC83136"/>
    <w:rsid w:val="5FF24C4A"/>
    <w:rsid w:val="60C7450E"/>
    <w:rsid w:val="61D478D0"/>
    <w:rsid w:val="621E32B5"/>
    <w:rsid w:val="63006BC8"/>
    <w:rsid w:val="648D37D8"/>
    <w:rsid w:val="65392915"/>
    <w:rsid w:val="66FD5C72"/>
    <w:rsid w:val="67EE340B"/>
    <w:rsid w:val="6903610A"/>
    <w:rsid w:val="69C74AB5"/>
    <w:rsid w:val="6B5E3DFA"/>
    <w:rsid w:val="6CB858A6"/>
    <w:rsid w:val="6DD76C31"/>
    <w:rsid w:val="6E2066FC"/>
    <w:rsid w:val="6EFC2342"/>
    <w:rsid w:val="6FAE4DB0"/>
    <w:rsid w:val="702D6B23"/>
    <w:rsid w:val="715810F0"/>
    <w:rsid w:val="726A7732"/>
    <w:rsid w:val="72A41B6D"/>
    <w:rsid w:val="739E1BCD"/>
    <w:rsid w:val="76914B57"/>
    <w:rsid w:val="76B02C86"/>
    <w:rsid w:val="76CF6AC3"/>
    <w:rsid w:val="77B606DF"/>
    <w:rsid w:val="77B91162"/>
    <w:rsid w:val="78480DA0"/>
    <w:rsid w:val="7A1E585B"/>
    <w:rsid w:val="7A8D2520"/>
    <w:rsid w:val="7AD46CF6"/>
    <w:rsid w:val="7C153219"/>
    <w:rsid w:val="7C4A3961"/>
    <w:rsid w:val="7DF60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0"/>
    <w:pPr>
      <w:ind w:firstLine="420" w:firstLineChars="200"/>
    </w:pPr>
  </w:style>
  <w:style w:type="paragraph" w:customStyle="1" w:styleId="10">
    <w:name w:val="Table Paragraph"/>
    <w:basedOn w:val="1"/>
    <w:autoRedefine/>
    <w:qFormat/>
    <w:uiPriority w:val="1"/>
    <w:rPr>
      <w:rFonts w:ascii="宋体" w:hAnsi="宋体" w:eastAsia="宋体" w:cs="宋体"/>
      <w:lang w:val="zh-CN" w:bidi="zh-CN"/>
    </w:rPr>
  </w:style>
  <w:style w:type="paragraph" w:customStyle="1" w:styleId="11">
    <w:name w:val="列出段落1"/>
    <w:basedOn w:val="1"/>
    <w:autoRedefine/>
    <w:qFormat/>
    <w:uiPriority w:val="99"/>
    <w:pPr>
      <w:ind w:firstLine="420" w:firstLineChars="200"/>
    </w:pPr>
  </w:style>
  <w:style w:type="paragraph" w:customStyle="1" w:styleId="12">
    <w:name w:val="p_text_indent_23"/>
    <w:basedOn w:val="1"/>
    <w:autoRedefine/>
    <w:qFormat/>
    <w:uiPriority w:val="0"/>
    <w:pPr>
      <w:widowControl/>
      <w:spacing w:before="100" w:beforeAutospacing="1" w:after="150"/>
      <w:ind w:firstLine="480"/>
      <w:jc w:val="left"/>
    </w:pPr>
    <w:rPr>
      <w:rFonts w:ascii="微软雅黑" w:hAnsi="微软雅黑" w:eastAsia="微软雅黑" w:cs="Tahoma"/>
      <w:color w:val="333333"/>
      <w:kern w:val="0"/>
      <w:sz w:val="24"/>
    </w:rPr>
  </w:style>
  <w:style w:type="character" w:customStyle="1" w:styleId="13">
    <w:name w:val="ListLabel 1"/>
    <w:autoRedefine/>
    <w:qFormat/>
    <w:uiPriority w:val="0"/>
    <w:rPr>
      <w:rFonts w:ascii="Times New Roman" w:hAnsi="Times New Roman" w:eastAsia="微软雅黑" w:cs="Times New Roman"/>
      <w:color w:val="515151"/>
      <w:szCs w:val="21"/>
      <w:shd w:val="clear" w:color="auto" w:fill="FFFFFF"/>
    </w:rPr>
  </w:style>
  <w:style w:type="character" w:customStyle="1" w:styleId="14">
    <w:name w:val="font21"/>
    <w:basedOn w:val="8"/>
    <w:autoRedefine/>
    <w:qFormat/>
    <w:uiPriority w:val="0"/>
    <w:rPr>
      <w:rFonts w:ascii="宋体" w:hAnsi="宋体" w:eastAsia="宋体" w:cs="宋体"/>
      <w:color w:val="000000"/>
      <w:sz w:val="16"/>
      <w:szCs w:val="16"/>
      <w:u w:val="none"/>
    </w:rPr>
  </w:style>
  <w:style w:type="character" w:customStyle="1" w:styleId="15">
    <w:name w:val="font31"/>
    <w:basedOn w:val="8"/>
    <w:autoRedefine/>
    <w:qFormat/>
    <w:uiPriority w:val="0"/>
    <w:rPr>
      <w:rFonts w:hint="eastAsia" w:ascii="宋体" w:hAnsi="宋体" w:eastAsia="宋体" w:cs="宋体"/>
      <w:color w:val="000000"/>
      <w:sz w:val="22"/>
      <w:szCs w:val="22"/>
      <w:u w:val="none"/>
    </w:rPr>
  </w:style>
  <w:style w:type="character" w:customStyle="1" w:styleId="16">
    <w:name w:val="font11"/>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32473;&#19968;&#29618;-&#30740;&#31350;&#29983;&#24037;&#20316;&#25991;&#20214;\&#38472;&#38498;&#20132;&#25509;&#30340;&#36164;&#26009;\&#25252;&#29702;&#19987;&#30805;&#24180;&#24230;&#36136;&#37327;&#25253;&#21578;&#22270;&#3103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2473;&#19968;&#29618;-&#30740;&#31350;&#29983;&#24037;&#20316;&#25991;&#20214;\&#38472;&#38498;&#20132;&#25509;&#30340;&#36164;&#26009;\&#25252;&#29702;&#19987;&#30805;&#24180;&#24230;&#36136;&#37327;&#25253;&#21578;&#22270;&#3103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32473;&#19968;&#29618;-&#30740;&#31350;&#29983;&#24037;&#20316;&#25991;&#20214;\&#38472;&#38498;&#20132;&#25509;&#30340;&#36164;&#26009;\&#25252;&#29702;&#19987;&#30805;&#24180;&#24230;&#36136;&#37327;&#25253;&#21578;&#22270;&#3103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2473;&#19968;&#29618;-&#30740;&#31350;&#29983;&#24037;&#20316;&#25991;&#20214;\&#38472;&#38498;&#20132;&#25509;&#30340;&#36164;&#26009;\&#25252;&#29702;&#19987;&#30805;&#24180;&#24230;&#36136;&#37327;&#25253;&#21578;&#22270;&#3103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Lbls>
            <c:dLbl>
              <c:idx val="0"/>
              <c:layout/>
              <c:tx>
                <c:rich>
                  <a:bodyPr rot="0" spcFirstLastPara="1" vertOverflow="clip" horzOverflow="clip" vert="horz" wrap="square" lIns="38100" tIns="19050" rIns="38100" bIns="19050" anchor="ctr" anchorCtr="1">
                    <a:noAutofit/>
                  </a:bodyPr>
                  <a:lstStyle/>
                  <a:p>
                    <a:pPr defTabSz="914400">
                      <a:defRPr lang="zh-CN" sz="1000" b="0" i="0" u="none" strike="noStrike" kern="1200" baseline="0">
                        <a:solidFill>
                          <a:schemeClr val="accent1"/>
                        </a:solidFill>
                        <a:effectLst/>
                        <a:latin typeface="+mn-lt"/>
                        <a:ea typeface="+mn-ea"/>
                        <a:cs typeface="+mn-cs"/>
                      </a:defRPr>
                    </a:pPr>
                    <a:r>
                      <a:t>重症监护</a:t>
                    </a:r>
                    <a:r>
                      <a:rPr lang="en-US" altLang="zh-CN"/>
                      <a:t>27.2%</a:t>
                    </a:r>
                    <a:endParaRPr lang="en-US" altLang="zh-CN" b="1">
                      <a:latin typeface="宋体" panose="02010600030101010101" charset="-122"/>
                      <a:ea typeface="宋体" panose="02010600030101010101" charset="-122"/>
                    </a:endParaRP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extLst>
                <c:ext xmlns:c15="http://schemas.microsoft.com/office/drawing/2012/chart" uri="{CE6537A1-D6FC-4f65-9D91-7224C49458BB}">
                  <c15:layout>
                    <c:manualLayout>
                      <c:w val="0.15"/>
                      <c:h val="0.157453703703704"/>
                    </c:manualLayout>
                  </c15:layout>
                </c:ext>
              </c:extLst>
            </c:dLbl>
            <c:dLbl>
              <c:idx val="1"/>
              <c:layout>
                <c:manualLayout>
                  <c:x val="-0.177993875765529"/>
                  <c:y val="-0.242478856809566"/>
                </c:manualLayout>
              </c:layout>
              <c:tx>
                <c:rich>
                  <a:bodyPr rot="0" spcFirstLastPara="1" vertOverflow="clip" horzOverflow="clip" vert="horz" wrap="square" lIns="38100" tIns="19050" rIns="38100" bIns="19050" anchor="ctr" anchorCtr="1">
                    <a:noAutofit/>
                  </a:bodyPr>
                  <a:lstStyle/>
                  <a:p>
                    <a:pPr defTabSz="914400">
                      <a:defRPr lang="zh-CN" sz="1000" b="0" i="0" u="none" strike="noStrike" kern="1200" baseline="0">
                        <a:solidFill>
                          <a:schemeClr val="accent1"/>
                        </a:solidFill>
                        <a:effectLst/>
                        <a:latin typeface="+mn-lt"/>
                        <a:ea typeface="+mn-ea"/>
                        <a:cs typeface="+mn-cs"/>
                      </a:defRPr>
                    </a:pPr>
                    <a:r>
                      <a:t>母婴护理</a:t>
                    </a:r>
                    <a:r>
                      <a:rPr lang="en-US" altLang="zh-CN"/>
                      <a:t>18.1%</a:t>
                    </a:r>
                    <a:endParaRPr lang="en-US" altLang="zh-CN" b="1">
                      <a:latin typeface="宋体" panose="02010600030101010101" charset="-122"/>
                      <a:ea typeface="宋体" panose="02010600030101010101" charset="-122"/>
                    </a:endParaRPr>
                  </a:p>
                </c:rich>
              </c:tx>
              <c:numFmt formatCode="General" sourceLinked="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lang="zh-CN" sz="1000" b="0" i="0" u="none" strike="noStrike" kern="1200" baseline="0">
                      <a:solidFill>
                        <a:schemeClr val="accent1"/>
                      </a:solidFill>
                      <a:effectLst/>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manualLayout>
                      <c:w val="0.15"/>
                      <c:h val="0.171342592592593"/>
                    </c:manualLayout>
                  </c15:layout>
                </c:ext>
              </c:extLst>
            </c:dLbl>
            <c:dLbl>
              <c:idx val="2"/>
              <c:layout>
                <c:manualLayout>
                  <c:x val="0.222669947506562"/>
                  <c:y val="-0.0499292796733742"/>
                </c:manualLayout>
              </c:layout>
              <c:tx>
                <c:rich>
                  <a:bodyPr rot="0" spcFirstLastPara="1" vertOverflow="clip" horzOverflow="clip" vert="horz" wrap="square" lIns="38100" tIns="19050" rIns="38100" bIns="19050" anchor="ctr" anchorCtr="1">
                    <a:noAutofit/>
                  </a:bodyPr>
                  <a:lstStyle/>
                  <a:p>
                    <a:pPr defTabSz="914400">
                      <a:defRPr lang="zh-CN" sz="1000" b="0" i="0" u="none" strike="noStrike" kern="1200" baseline="0">
                        <a:solidFill>
                          <a:schemeClr val="accent1"/>
                        </a:solidFill>
                        <a:effectLst/>
                        <a:latin typeface="+mn-lt"/>
                        <a:ea typeface="+mn-ea"/>
                        <a:cs typeface="+mn-cs"/>
                      </a:defRPr>
                    </a:pPr>
                    <a:r>
                      <a:t>慢性病护理</a:t>
                    </a:r>
                    <a:r>
                      <a:rPr lang="en-US" altLang="zh-CN"/>
                      <a:t>54.5%</a:t>
                    </a:r>
                    <a:endParaRPr lang="en-US" altLang="zh-CN" b="1">
                      <a:latin typeface="宋体" panose="02010600030101010101" charset="-122"/>
                      <a:ea typeface="宋体" panose="02010600030101010101" charset="-122"/>
                    </a:endParaRPr>
                  </a:p>
                </c:rich>
              </c:tx>
              <c:numFmt formatCode="General" sourceLinked="1"/>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noAutofit/>
                </a:bodyPr>
                <a:lstStyle/>
                <a:p>
                  <a:pPr>
                    <a:defRPr lang="zh-CN" sz="1000" b="0" i="0" u="none" strike="noStrike" kern="1200" baseline="0">
                      <a:solidFill>
                        <a:schemeClr val="accent1"/>
                      </a:solidFill>
                      <a:effectLst/>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manualLayout>
                      <c:w val="0.169444444444444"/>
                      <c:h val="0.189861111111111"/>
                    </c:manualLayout>
                  </c15:layout>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Sheet1!$A$29:$A$31</c:f>
              <c:strCache>
                <c:ptCount val="3"/>
                <c:pt idx="0">
                  <c:v>重症监护</c:v>
                </c:pt>
                <c:pt idx="1">
                  <c:v>母婴护理</c:v>
                </c:pt>
                <c:pt idx="2">
                  <c:v>慢性病护理</c:v>
                </c:pt>
              </c:strCache>
            </c:strRef>
          </c:cat>
          <c:val>
            <c:numRef>
              <c:f>Sheet1!$B$29:$B$31</c:f>
              <c:numCache>
                <c:formatCode>General</c:formatCode>
                <c:ptCount val="3"/>
                <c:pt idx="0">
                  <c:v>15</c:v>
                </c:pt>
                <c:pt idx="1">
                  <c:v>10</c:v>
                </c:pt>
                <c:pt idx="2">
                  <c:v>30</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185537519929178"/>
                  <c:y val="-0.223981102362205"/>
                </c:manualLayout>
              </c:layout>
              <c:tx>
                <c:rich>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r>
                      <a:rPr lang="zh-CN" altLang="en-US" sz="1000" b="1">
                        <a:latin typeface="宋体" panose="02010600030101010101" charset="-122"/>
                        <a:ea typeface="宋体" panose="02010600030101010101" charset="-122"/>
                      </a:rPr>
                      <a:t>硕士</a:t>
                    </a:r>
                    <a:r>
                      <a:rPr lang="en-US" altLang="zh-CN" sz="1000" b="1">
                        <a:latin typeface="宋体" panose="02010600030101010101" charset="-122"/>
                        <a:ea typeface="宋体" panose="02010600030101010101" charset="-122"/>
                      </a:rPr>
                      <a:t>63.6%</a:t>
                    </a:r>
                    <a:endParaRPr lang="en-US" altLang="zh-CN" sz="1000" b="1">
                      <a:latin typeface="宋体" panose="02010600030101010101" charset="-122"/>
                      <a:ea typeface="宋体" panose="02010600030101010101" charset="-122"/>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94444444444444"/>
                      <c:h val="0.209490740740741"/>
                    </c:manualLayout>
                  </c15:layout>
                </c:ext>
              </c:extLst>
            </c:dLbl>
            <c:dLbl>
              <c:idx val="1"/>
              <c:layout>
                <c:manualLayout>
                  <c:x val="0.245460415652412"/>
                  <c:y val="0.0534906901343215"/>
                </c:manualLayout>
              </c:layout>
              <c:tx>
                <c:rich>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r>
                      <a:rPr lang="zh-CN" altLang="en-US" sz="1050" b="1">
                        <a:latin typeface="宋体" panose="02010600030101010101" charset="-122"/>
                        <a:ea typeface="宋体" panose="02010600030101010101" charset="-122"/>
                      </a:rPr>
                      <a:t>博士</a:t>
                    </a:r>
                    <a:r>
                      <a:rPr lang="en-US" altLang="zh-CN" sz="1050" b="1">
                        <a:latin typeface="宋体" panose="02010600030101010101" charset="-122"/>
                        <a:ea typeface="宋体" panose="02010600030101010101" charset="-122"/>
                      </a:rPr>
                      <a:t>36.4%</a:t>
                    </a:r>
                    <a:endParaRPr lang="en-US" altLang="zh-CN" sz="1050" b="1">
                      <a:latin typeface="宋体" panose="02010600030101010101" charset="-122"/>
                      <a:ea typeface="宋体" panose="02010600030101010101" charset="-122"/>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34722222222222"/>
                      <c:h val="0.149305555555556"/>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Sheet1!$A$44:$A$45</c:f>
              <c:strCache>
                <c:ptCount val="2"/>
                <c:pt idx="0">
                  <c:v>硕士</c:v>
                </c:pt>
                <c:pt idx="1">
                  <c:v>博士</c:v>
                </c:pt>
              </c:strCache>
            </c:strRef>
          </c:cat>
          <c:val>
            <c:numRef>
              <c:f>Sheet1!$B$44:$B$45</c:f>
              <c:numCache>
                <c:formatCode>General</c:formatCode>
                <c:ptCount val="2"/>
                <c:pt idx="0">
                  <c:v>14</c:v>
                </c:pt>
                <c:pt idx="1">
                  <c:v>8</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986111111111111"/>
          <c:y val="0.238838218139399"/>
          <c:w val="0.813888888888889"/>
          <c:h val="0.570216535433071"/>
        </c:manualLayout>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196661622407696"/>
                  <c:y val="-0.166481432149856"/>
                </c:manualLayout>
              </c:layout>
              <c:tx>
                <c:rich>
                  <a:bodyPr rot="0" spcFirstLastPara="1" vertOverflow="ellipsis" vert="horz" wrap="square" lIns="38100" tIns="19050" rIns="38100" bIns="19050" anchor="ctr" anchorCtr="1">
                    <a:noAutofit/>
                  </a:bodyPr>
                  <a:lstStyle/>
                  <a:p>
                    <a:pPr defTabSz="914400">
                      <a:defRPr lang="zh-CN" sz="1000" b="1" i="0" u="none" strike="noStrike" kern="1200" baseline="0">
                        <a:solidFill>
                          <a:schemeClr val="tx1">
                            <a:lumMod val="75000"/>
                            <a:lumOff val="25000"/>
                          </a:schemeClr>
                        </a:solidFill>
                        <a:latin typeface="+mn-lt"/>
                        <a:ea typeface="+mn-ea"/>
                        <a:cs typeface="+mn-cs"/>
                      </a:defRPr>
                    </a:pPr>
                    <a:r>
                      <a:rPr sz="1000" b="1"/>
                      <a:t>45岁以上</a:t>
                    </a:r>
                    <a:r>
                      <a:rPr lang="en-US" altLang="zh-CN" sz="1000" b="1"/>
                      <a:t> </a:t>
                    </a:r>
                    <a:endParaRPr lang="en-US" altLang="zh-CN" sz="1000" b="1"/>
                  </a:p>
                  <a:p>
                    <a:pPr defTabSz="914400">
                      <a:defRPr lang="zh-CN" sz="1000" b="1" i="0" u="none" strike="noStrike" kern="1200" baseline="0">
                        <a:solidFill>
                          <a:schemeClr val="tx1">
                            <a:lumMod val="75000"/>
                            <a:lumOff val="25000"/>
                          </a:schemeClr>
                        </a:solidFill>
                        <a:latin typeface="+mn-lt"/>
                        <a:ea typeface="+mn-ea"/>
                        <a:cs typeface="+mn-cs"/>
                      </a:defRPr>
                    </a:pPr>
                    <a:r>
                      <a:rPr sz="1000" b="1"/>
                      <a:t> 68%</a:t>
                    </a:r>
                    <a:endParaRPr lang="zh-HK" altLang="en-US" sz="1000" b="1">
                      <a:latin typeface="宋体" panose="02010600030101010101" charset="-122"/>
                      <a:ea typeface="宋体" panose="02010600030101010101" charset="-122"/>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10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305778421343741"/>
                      <c:h val="0.241941472500831"/>
                    </c:manualLayout>
                  </c15:layout>
                </c:ext>
              </c:extLst>
            </c:dLbl>
            <c:dLbl>
              <c:idx val="1"/>
              <c:layout>
                <c:manualLayout>
                  <c:x val="0.24616243195935"/>
                  <c:y val="0.0852694160672874"/>
                </c:manualLayout>
              </c:layout>
              <c:tx>
                <c:rich>
                  <a:bodyPr rot="0" spcFirstLastPara="1" vertOverflow="ellipsis" vert="horz" wrap="square" lIns="38100" tIns="19050" rIns="38100" bIns="19050" anchor="ctr" anchorCtr="0">
                    <a:spAutoFit/>
                  </a:bodyPr>
                  <a:lstStyle/>
                  <a:p>
                    <a:pPr algn="ctr" defTabSz="914400" rtl="0">
                      <a:defRPr lang="en-US" altLang="zh-HK" sz="1000" b="1" i="0" u="none" strike="noStrike" kern="1200" baseline="0">
                        <a:solidFill>
                          <a:sysClr val="windowText" lastClr="000000">
                            <a:lumMod val="75000"/>
                            <a:lumOff val="25000"/>
                          </a:sysClr>
                        </a:solidFill>
                        <a:latin typeface="宋体" panose="02010600030101010101" charset="-122"/>
                        <a:ea typeface="宋体" panose="02010600030101010101" charset="-122"/>
                        <a:cs typeface="+mn-cs"/>
                      </a:defRPr>
                    </a:pPr>
                    <a:r>
                      <a:rPr sz="1000" b="1"/>
                      <a:t>45岁以下 32%</a:t>
                    </a:r>
                    <a:endParaRPr lang="zh-HK" altLang="en-US" sz="1000" b="1" i="0" u="none" strike="noStrike" kern="1200" baseline="0">
                      <a:solidFill>
                        <a:sysClr val="windowText" lastClr="000000">
                          <a:lumMod val="75000"/>
                          <a:lumOff val="25000"/>
                        </a:sysClr>
                      </a:solidFill>
                      <a:latin typeface="宋体" panose="02010600030101010101" charset="-122"/>
                      <a:ea typeface="宋体" panose="02010600030101010101" charset="-122"/>
                      <a:cs typeface="+mn-cs"/>
                    </a:endParaRPr>
                  </a:p>
                </c:rich>
              </c:tx>
              <c:numFmt formatCode="General" sourceLinked="1"/>
              <c:spPr>
                <a:noFill/>
                <a:ln>
                  <a:noFill/>
                </a:ln>
                <a:effectLst/>
              </c:spPr>
              <c:txPr>
                <a:bodyPr rot="0" spcFirstLastPara="1" vertOverflow="ellipsis" vert="horz" wrap="square" lIns="38100" tIns="19050" rIns="38100" bIns="19050" anchor="ctr" anchorCtr="0">
                  <a:spAutoFit/>
                </a:bodyPr>
                <a:lstStyle/>
                <a:p>
                  <a:pPr algn="ctr">
                    <a:defRPr lang="en-US" altLang="zh-HK" sz="1000" b="1" i="0" u="none" strike="noStrike" kern="1200" baseline="0">
                      <a:solidFill>
                        <a:sysClr val="windowText" lastClr="000000">
                          <a:lumMod val="75000"/>
                          <a:lumOff val="25000"/>
                        </a:sysClr>
                      </a:solidFill>
                      <a:latin typeface="宋体" panose="02010600030101010101" charset="-122"/>
                      <a:ea typeface="宋体" panose="02010600030101010101" charset="-122"/>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215902519619992"/>
                      <c:h val="0.227396581620015"/>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Sheet1!$A$48:$A$49</c:f>
              <c:strCache>
                <c:ptCount val="2"/>
                <c:pt idx="0">
                  <c:v>45岁以上</c:v>
                </c:pt>
                <c:pt idx="1">
                  <c:v>45岁以下</c:v>
                </c:pt>
              </c:strCache>
            </c:strRef>
          </c:cat>
          <c:val>
            <c:numRef>
              <c:f>Sheet1!$B$48:$B$49</c:f>
              <c:numCache>
                <c:formatCode>General</c:formatCode>
                <c:ptCount val="2"/>
                <c:pt idx="0">
                  <c:v>15</c:v>
                </c:pt>
                <c:pt idx="1">
                  <c:v>7</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b="1"/>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alpha val="90000"/>
                </a:schemeClr>
              </a:solidFill>
              <a:ln w="19050">
                <a:solidFill>
                  <a:schemeClr val="accent1">
                    <a:lumMod val="75000"/>
                  </a:schemeClr>
                </a:solidFill>
              </a:ln>
              <a:effectLst>
                <a:innerShdw>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Lbls>
            <c:dLbl>
              <c:idx val="0"/>
              <c:layout/>
              <c:tx>
                <c:rich>
                  <a:bodyPr rot="0" spcFirstLastPara="1" vertOverflow="clip" horzOverflow="clip" vert="horz" wrap="square" lIns="38100" tIns="19050" rIns="38100" bIns="19050" anchor="ctr" anchorCtr="1">
                    <a:noAutofit/>
                  </a:bodyPr>
                  <a:lstStyle/>
                  <a:p>
                    <a:pPr defTabSz="914400">
                      <a:defRPr lang="zh-CN" sz="1000" b="0" i="0" u="none" strike="noStrike" kern="1200" baseline="0">
                        <a:solidFill>
                          <a:schemeClr val="accent1"/>
                        </a:solidFill>
                        <a:effectLst/>
                        <a:latin typeface="+mn-lt"/>
                        <a:ea typeface="+mn-ea"/>
                        <a:cs typeface="+mn-cs"/>
                      </a:defRPr>
                    </a:pPr>
                    <a:r>
                      <a:t>核心</a:t>
                    </a:r>
                    <a:r>
                      <a:rPr lang="en-US" altLang="zh-CN"/>
                      <a:t>11</a:t>
                    </a:r>
                    <a:endParaRPr lang="en-US" altLang="zh-CN" b="1">
                      <a:latin typeface="宋体" panose="02010600030101010101" charset="-122"/>
                      <a:ea typeface="宋体" panose="02010600030101010101" charset="-122"/>
                    </a:endParaRP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extLst>
                <c:ext xmlns:c15="http://schemas.microsoft.com/office/drawing/2012/chart" uri="{CE6537A1-D6FC-4f65-9D91-7224C49458BB}">
                  <c15:layout>
                    <c:manualLayout>
                      <c:w val="0.166666666666667"/>
                      <c:h val="0.106527777777778"/>
                    </c:manualLayout>
                  </c15:layout>
                </c:ext>
              </c:extLst>
            </c:dLbl>
            <c:dLbl>
              <c:idx val="1"/>
              <c:layout>
                <c:manualLayout>
                  <c:x val="0.108316497023238"/>
                  <c:y val="-0.235092491838955"/>
                </c:manualLayout>
              </c:layout>
              <c:tx>
                <c:rich>
                  <a:bodyPr rot="0" spcFirstLastPara="1" vertOverflow="clip" horzOverflow="clip" vert="horz" wrap="square" lIns="38100" tIns="19050" rIns="38100" bIns="19050" anchor="ctr" anchorCtr="1">
                    <a:noAutofit/>
                  </a:bodyPr>
                  <a:lstStyle/>
                  <a:p>
                    <a:pPr defTabSz="914400">
                      <a:defRPr lang="zh-CN" sz="1000" b="0" i="0" u="none" strike="noStrike" kern="1200" baseline="0">
                        <a:solidFill>
                          <a:schemeClr val="accent1"/>
                        </a:solidFill>
                        <a:effectLst/>
                        <a:latin typeface="+mn-lt"/>
                        <a:ea typeface="+mn-ea"/>
                        <a:cs typeface="+mn-cs"/>
                      </a:defRPr>
                    </a:pPr>
                    <a:r>
                      <a:t>非核心</a:t>
                    </a:r>
                    <a:r>
                      <a:rPr lang="en-US" altLang="zh-CN"/>
                      <a:t>4</a:t>
                    </a:r>
                    <a:endParaRPr lang="en-US" altLang="zh-CN" b="1">
                      <a:latin typeface="宋体" panose="02010600030101010101" charset="-122"/>
                      <a:ea typeface="宋体" panose="02010600030101010101" charset="-122"/>
                    </a:endParaRPr>
                  </a:p>
                </c:rich>
              </c:tx>
              <c:numFmt formatCode="General" sourceLinked="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lang="zh-CN" sz="1000" b="0" i="0" u="none" strike="noStrike" kern="1200" baseline="0">
                      <a:solidFill>
                        <a:schemeClr val="accent1"/>
                      </a:solidFill>
                      <a:effectLst/>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manualLayout>
                      <c:w val="0.197222222222222"/>
                      <c:h val="0.111157407407407"/>
                    </c:manualLayout>
                  </c15:layout>
                </c:ext>
              </c:extLst>
            </c:dLbl>
            <c:dLbl>
              <c:idx val="2"/>
              <c:layout>
                <c:manualLayout>
                  <c:x val="0.168791722681006"/>
                  <c:y val="0.107477530352232"/>
                </c:manualLayout>
              </c:layout>
              <c:tx>
                <c:rich>
                  <a:bodyPr rot="0" spcFirstLastPara="1" vertOverflow="clip" horzOverflow="clip" vert="horz" wrap="square" lIns="38100" tIns="19050" rIns="38100" bIns="19050" anchor="ctr" anchorCtr="1">
                    <a:noAutofit/>
                  </a:bodyPr>
                  <a:lstStyle/>
                  <a:p>
                    <a:pPr defTabSz="914400">
                      <a:defRPr lang="zh-CN" sz="1000" b="0" i="0" u="none" strike="noStrike" kern="1200" baseline="0">
                        <a:solidFill>
                          <a:schemeClr val="accent1"/>
                        </a:solidFill>
                        <a:effectLst/>
                        <a:latin typeface="+mn-lt"/>
                        <a:ea typeface="+mn-ea"/>
                        <a:cs typeface="+mn-cs"/>
                      </a:defRPr>
                    </a:pPr>
                    <a:r>
                      <a:t>SCI</a:t>
                    </a:r>
                    <a:r>
                      <a:rPr lang="en-US" altLang="zh-CN"/>
                      <a:t> </a:t>
                    </a:r>
                    <a:r>
                      <a:t>9</a:t>
                    </a:r>
                    <a:endParaRPr lang="en-US" altLang="zh-TW"/>
                  </a:p>
                </c:rich>
              </c:tx>
              <c:numFmt formatCode="General" sourceLinked="1"/>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noAutofit/>
                </a:bodyPr>
                <a:lstStyle/>
                <a:p>
                  <a:pPr>
                    <a:defRPr lang="zh-CN" sz="1000" b="0" i="0" u="none" strike="noStrike" kern="1200" baseline="0">
                      <a:solidFill>
                        <a:schemeClr val="accent1"/>
                      </a:solidFill>
                      <a:effectLst/>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39638888888889"/>
                      <c:h val="0.102801108194809"/>
                    </c:manualLayout>
                  </c15:layout>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Sheet1!$A$1:$A$3</c:f>
              <c:strCache>
                <c:ptCount val="3"/>
                <c:pt idx="0">
                  <c:v>核心</c:v>
                </c:pt>
                <c:pt idx="1">
                  <c:v>非核心</c:v>
                </c:pt>
                <c:pt idx="2">
                  <c:v>SCI</c:v>
                </c:pt>
              </c:strCache>
            </c:strRef>
          </c:cat>
          <c:val>
            <c:numRef>
              <c:f>Sheet1!$B$1:$B$3</c:f>
              <c:numCache>
                <c:formatCode>General</c:formatCode>
                <c:ptCount val="3"/>
                <c:pt idx="0">
                  <c:v>11</c:v>
                </c:pt>
                <c:pt idx="1">
                  <c:v>8</c:v>
                </c:pt>
                <c:pt idx="2">
                  <c:v>9</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ED064-6E75-451B-A574-0EACBAAA1338}">
  <ds:schemaRefs/>
</ds:datastoreItem>
</file>

<file path=docProps/app.xml><?xml version="1.0" encoding="utf-8"?>
<Properties xmlns="http://schemas.openxmlformats.org/officeDocument/2006/extended-properties" xmlns:vt="http://schemas.openxmlformats.org/officeDocument/2006/docPropsVTypes">
  <Template>Normal</Template>
  <Pages>1</Pages>
  <Words>2662</Words>
  <Characters>15180</Characters>
  <Lines>126</Lines>
  <Paragraphs>35</Paragraphs>
  <TotalTime>16</TotalTime>
  <ScaleCrop>false</ScaleCrop>
  <LinksUpToDate>false</LinksUpToDate>
  <CharactersWithSpaces>17807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2021-02-22T07:09:00Z</dcterms:created>
  <dc:creator>璧玉</dc:creator>
  <cp:lastModifiedBy>蔡蔡</cp:lastModifiedBy>
  <cp:lastPrinted>2021-02-23T01:26:00Z</cp:lastPrinted>
  <dcterms:modified xsi:type="dcterms:W3CDTF">2024-03-12T01:22:01Z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C0D2D1FAE02C43C39EA1E6B86C3A6E50_13</vt:lpwstr>
  </property>
</Properties>
</file>