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Times New Roman" w:hAnsi="Times New Roman" w:eastAsia="方正小标宋简体" w:cs="Times New Roman"/>
          <w:spacing w:val="3"/>
          <w:sz w:val="44"/>
          <w:szCs w:val="44"/>
        </w:rPr>
      </w:pPr>
    </w:p>
    <w:p>
      <w:pPr>
        <w:spacing w:line="760" w:lineRule="exact"/>
        <w:jc w:val="center"/>
        <w:rPr>
          <w:rFonts w:ascii="Times New Roman" w:hAnsi="Times New Roman" w:eastAsia="方正小标宋简体" w:cs="Times New Roman"/>
          <w:spacing w:val="3"/>
          <w:sz w:val="44"/>
          <w:szCs w:val="44"/>
        </w:rPr>
      </w:pPr>
    </w:p>
    <w:p>
      <w:pPr>
        <w:pStyle w:val="3"/>
        <w:rPr>
          <w:rFonts w:ascii="Times New Roman" w:hAnsi="Times New Roman" w:cs="Times New Roman"/>
        </w:rPr>
      </w:pPr>
    </w:p>
    <w:p>
      <w:pPr>
        <w:spacing w:line="480" w:lineRule="auto"/>
        <w:jc w:val="center"/>
        <w:rPr>
          <w:rFonts w:ascii="Times New Roman" w:hAnsi="Times New Roman" w:eastAsia="黑体" w:cs="Times New Roman"/>
          <w:b/>
          <w:bCs/>
          <w:sz w:val="72"/>
          <w:szCs w:val="72"/>
        </w:rPr>
      </w:pPr>
      <w:r>
        <w:rPr>
          <w:rFonts w:ascii="Times New Roman" w:hAnsi="Times New Roman" w:eastAsia="黑体" w:cs="Times New Roman"/>
          <w:b/>
          <w:bCs/>
          <w:spacing w:val="3"/>
          <w:sz w:val="72"/>
          <w:szCs w:val="72"/>
        </w:rPr>
        <w:t>广东药科大学</w:t>
      </w:r>
      <w:r>
        <w:rPr>
          <w:rFonts w:ascii="Times New Roman" w:hAnsi="Times New Roman" w:eastAsia="黑体" w:cs="Times New Roman"/>
          <w:b/>
          <w:bCs/>
          <w:sz w:val="72"/>
          <w:szCs w:val="72"/>
        </w:rPr>
        <w:t>研究生教育</w:t>
      </w:r>
    </w:p>
    <w:p>
      <w:pPr>
        <w:spacing w:line="480" w:lineRule="auto"/>
        <w:jc w:val="center"/>
        <w:rPr>
          <w:rFonts w:ascii="Times New Roman" w:hAnsi="Times New Roman" w:eastAsia="黑体" w:cs="Times New Roman"/>
          <w:b/>
          <w:bCs/>
          <w:spacing w:val="3"/>
          <w:sz w:val="52"/>
          <w:szCs w:val="52"/>
        </w:rPr>
      </w:pPr>
      <w:r>
        <w:rPr>
          <w:rFonts w:ascii="Times New Roman" w:hAnsi="Times New Roman" w:eastAsia="黑体" w:cs="Times New Roman"/>
          <w:b/>
          <w:bCs/>
          <w:sz w:val="72"/>
          <w:szCs w:val="72"/>
        </w:rPr>
        <w:t>质量</w:t>
      </w:r>
      <w:r>
        <w:rPr>
          <w:rFonts w:ascii="Times New Roman" w:hAnsi="Times New Roman" w:eastAsia="黑体" w:cs="Times New Roman"/>
          <w:b/>
          <w:bCs/>
          <w:spacing w:val="3"/>
          <w:sz w:val="72"/>
          <w:szCs w:val="72"/>
        </w:rPr>
        <w:t>报告</w:t>
      </w:r>
    </w:p>
    <w:p>
      <w:pPr>
        <w:spacing w:line="760" w:lineRule="exact"/>
        <w:jc w:val="center"/>
        <w:rPr>
          <w:rFonts w:ascii="Times New Roman" w:hAnsi="Times New Roman" w:cs="Times New Roman"/>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361" w:bottom="1247" w:left="1531" w:header="851" w:footer="992" w:gutter="0"/>
          <w:pgNumType w:fmt="upperRoman"/>
          <w:cols w:space="425" w:num="1"/>
          <w:docGrid w:type="lines" w:linePitch="312" w:charSpace="0"/>
        </w:sectPr>
      </w:pPr>
      <w:r>
        <w:rPr>
          <w:rFonts w:ascii="Times New Roman" w:hAnsi="Times New Roman" w:eastAsia="华文中宋" w:cs="Times New Roman"/>
          <w:sz w:val="48"/>
          <w:szCs w:val="48"/>
        </w:rPr>
        <w:drawing>
          <wp:anchor distT="0" distB="0" distL="114300" distR="114300" simplePos="0" relativeHeight="251660288" behindDoc="0" locked="0" layoutInCell="1" allowOverlap="1">
            <wp:simplePos x="0" y="0"/>
            <wp:positionH relativeFrom="page">
              <wp:posOffset>37465</wp:posOffset>
            </wp:positionH>
            <wp:positionV relativeFrom="paragraph">
              <wp:posOffset>3495675</wp:posOffset>
            </wp:positionV>
            <wp:extent cx="7451725" cy="1221740"/>
            <wp:effectExtent l="0" t="0" r="0" b="16510"/>
            <wp:wrapNone/>
            <wp:docPr id="7" name="图片 7" descr="6ebd30ac5217e078aa2f703d8ba5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ebd30ac5217e078aa2f703d8ba515b"/>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1725" cy="1221740"/>
                    </a:xfrm>
                    <a:prstGeom prst="rect">
                      <a:avLst/>
                    </a:prstGeom>
                  </pic:spPr>
                </pic:pic>
              </a:graphicData>
            </a:graphic>
          </wp:anchor>
        </w:drawing>
      </w:r>
      <w:r>
        <w:rPr>
          <w:rFonts w:ascii="Times New Roman" w:hAnsi="Times New Roman" w:eastAsia="黑体" w:cs="Times New Roman"/>
          <w:b/>
          <w:bCs/>
          <w:spacing w:val="3"/>
          <w:sz w:val="48"/>
          <w:szCs w:val="48"/>
        </w:rPr>
        <w:t>（202</w:t>
      </w:r>
      <w:r>
        <w:rPr>
          <w:rFonts w:hint="eastAsia" w:ascii="Times New Roman" w:hAnsi="Times New Roman" w:eastAsia="黑体" w:cs="Times New Roman"/>
          <w:b/>
          <w:bCs/>
          <w:spacing w:val="3"/>
          <w:sz w:val="48"/>
          <w:szCs w:val="48"/>
        </w:rPr>
        <w:t>3</w:t>
      </w:r>
      <w:r>
        <w:rPr>
          <w:rFonts w:ascii="Times New Roman" w:hAnsi="Times New Roman" w:eastAsia="黑体" w:cs="Times New Roman"/>
          <w:b/>
          <w:bCs/>
          <w:spacing w:val="3"/>
          <w:sz w:val="48"/>
          <w:szCs w:val="48"/>
        </w:rPr>
        <w:t>年）</w:t>
      </w: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pPr>
    </w:p>
    <w:p>
      <w:pPr>
        <w:spacing w:line="760" w:lineRule="exact"/>
        <w:jc w:val="center"/>
        <w:rPr>
          <w:rFonts w:ascii="Times New Roman" w:hAnsi="Times New Roman" w:eastAsia="方正小标宋简体" w:cs="Times New Roman"/>
          <w:sz w:val="44"/>
          <w:szCs w:val="44"/>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spacing w:line="7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 录</w:t>
      </w:r>
    </w:p>
    <w:p>
      <w:pPr>
        <w:spacing w:line="760" w:lineRule="exact"/>
        <w:jc w:val="center"/>
        <w:rPr>
          <w:rFonts w:ascii="Times New Roman" w:hAnsi="Times New Roman" w:eastAsia="方正小标宋简体" w:cs="Times New Roman"/>
          <w:sz w:val="44"/>
          <w:szCs w:val="44"/>
        </w:rPr>
      </w:pPr>
    </w:p>
    <w:p>
      <w:pPr>
        <w:pStyle w:val="9"/>
        <w:tabs>
          <w:tab w:val="right" w:leader="dot" w:pos="8306"/>
          <w:tab w:val="clear" w:pos="8296"/>
        </w:tabs>
      </w:pPr>
      <w:r>
        <w:rPr>
          <w:rFonts w:ascii="Times New Roman" w:hAnsi="Times New Roman" w:eastAsia="方正小标宋简体" w:cs="Times New Roman"/>
          <w:sz w:val="44"/>
          <w:szCs w:val="44"/>
        </w:rPr>
        <w:fldChar w:fldCharType="begin"/>
      </w:r>
      <w:r>
        <w:rPr>
          <w:rFonts w:ascii="Times New Roman" w:hAnsi="Times New Roman" w:eastAsia="方正小标宋简体" w:cs="Times New Roman"/>
          <w:sz w:val="44"/>
          <w:szCs w:val="44"/>
        </w:rPr>
        <w:instrText xml:space="preserve"> TOC \o "1-2" \h \z \u </w:instrText>
      </w:r>
      <w:r>
        <w:rPr>
          <w:rFonts w:ascii="Times New Roman" w:hAnsi="Times New Roman" w:eastAsia="方正小标宋简体" w:cs="Times New Roman"/>
          <w:sz w:val="44"/>
          <w:szCs w:val="44"/>
        </w:rPr>
        <w:fldChar w:fldCharType="separate"/>
      </w: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_Toc17891 </w:instrText>
      </w:r>
      <w:r>
        <w:rPr>
          <w:rFonts w:ascii="Times New Roman" w:hAnsi="Times New Roman" w:eastAsia="方正小标宋简体" w:cs="Times New Roman"/>
          <w:szCs w:val="44"/>
        </w:rPr>
        <w:fldChar w:fldCharType="separate"/>
      </w:r>
      <w:r>
        <w:rPr>
          <w:rFonts w:hint="eastAsia" w:ascii="仿宋" w:hAnsi="仿宋" w:eastAsia="仿宋" w:cs="仿宋"/>
          <w:szCs w:val="32"/>
        </w:rPr>
        <w:t>一、学校学位与研究生教育总体概况</w:t>
      </w:r>
      <w:r>
        <w:tab/>
      </w:r>
      <w:r>
        <w:fldChar w:fldCharType="begin"/>
      </w:r>
      <w:r>
        <w:instrText xml:space="preserve"> PAGEREF _Toc17891 \h </w:instrText>
      </w:r>
      <w:r>
        <w:fldChar w:fldCharType="separate"/>
      </w:r>
      <w:r>
        <w:t>1</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_Toc31527 </w:instrText>
      </w:r>
      <w:r>
        <w:rPr>
          <w:rFonts w:ascii="Times New Roman" w:hAnsi="Times New Roman" w:eastAsia="方正小标宋简体" w:cs="Times New Roman"/>
          <w:szCs w:val="44"/>
        </w:rPr>
        <w:fldChar w:fldCharType="separate"/>
      </w:r>
      <w:r>
        <w:rPr>
          <w:rFonts w:hint="eastAsia" w:ascii="仿宋" w:hAnsi="仿宋" w:eastAsia="仿宋" w:cs="仿宋"/>
        </w:rPr>
        <w:t>（一）学位授权点</w:t>
      </w:r>
      <w:r>
        <w:tab/>
      </w:r>
      <w:r>
        <w:fldChar w:fldCharType="begin"/>
      </w:r>
      <w:r>
        <w:instrText xml:space="preserve"> PAGEREF _Toc31527 \h </w:instrText>
      </w:r>
      <w:r>
        <w:fldChar w:fldCharType="separate"/>
      </w:r>
      <w:r>
        <w:t>1</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_Toc21095 </w:instrText>
      </w:r>
      <w:r>
        <w:rPr>
          <w:rFonts w:ascii="Times New Roman" w:hAnsi="Times New Roman" w:eastAsia="方正小标宋简体" w:cs="Times New Roman"/>
          <w:szCs w:val="44"/>
        </w:rPr>
        <w:fldChar w:fldCharType="separate"/>
      </w:r>
      <w:r>
        <w:rPr>
          <w:rFonts w:hint="eastAsia" w:ascii="仿宋" w:hAnsi="仿宋" w:eastAsia="仿宋" w:cs="仿宋"/>
        </w:rPr>
        <w:t>（二）重点学科</w:t>
      </w:r>
      <w:r>
        <w:tab/>
      </w:r>
      <w:r>
        <w:fldChar w:fldCharType="begin"/>
      </w:r>
      <w:r>
        <w:instrText xml:space="preserve"> PAGEREF _Toc21095 \h </w:instrText>
      </w:r>
      <w:r>
        <w:fldChar w:fldCharType="separate"/>
      </w:r>
      <w:r>
        <w:t>2</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_Toc9390 </w:instrText>
      </w:r>
      <w:r>
        <w:rPr>
          <w:rFonts w:ascii="Times New Roman" w:hAnsi="Times New Roman" w:eastAsia="方正小标宋简体" w:cs="Times New Roman"/>
          <w:szCs w:val="44"/>
        </w:rPr>
        <w:fldChar w:fldCharType="separate"/>
      </w:r>
      <w:r>
        <w:rPr>
          <w:rFonts w:hint="eastAsia" w:ascii="仿宋" w:hAnsi="仿宋" w:eastAsia="仿宋" w:cs="仿宋"/>
        </w:rPr>
        <w:t>（三）研究生年度状态数据</w:t>
      </w:r>
      <w:r>
        <w:tab/>
      </w:r>
      <w:r>
        <w:fldChar w:fldCharType="begin"/>
      </w:r>
      <w:r>
        <w:instrText xml:space="preserve"> PAGEREF _Toc9390 \h </w:instrText>
      </w:r>
      <w:r>
        <w:fldChar w:fldCharType="separate"/>
      </w:r>
      <w:r>
        <w:t>3</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_Toc11828 </w:instrText>
      </w:r>
      <w:r>
        <w:rPr>
          <w:rFonts w:ascii="Times New Roman" w:hAnsi="Times New Roman" w:eastAsia="方正小标宋简体" w:cs="Times New Roman"/>
          <w:szCs w:val="44"/>
        </w:rPr>
        <w:fldChar w:fldCharType="separate"/>
      </w:r>
      <w:r>
        <w:rPr>
          <w:rFonts w:hint="eastAsia" w:ascii="仿宋" w:hAnsi="仿宋" w:eastAsia="仿宋" w:cs="仿宋"/>
        </w:rPr>
        <w:t>（四）导师队伍规模及结构</w:t>
      </w:r>
      <w:r>
        <w:tab/>
      </w:r>
      <w:r>
        <w:fldChar w:fldCharType="begin"/>
      </w:r>
      <w:r>
        <w:instrText xml:space="preserve"> PAGEREF _Toc11828 \h </w:instrText>
      </w:r>
      <w:r>
        <w:fldChar w:fldCharType="separate"/>
      </w:r>
      <w:r>
        <w:t>3</w:t>
      </w:r>
      <w:r>
        <w:fldChar w:fldCharType="end"/>
      </w:r>
      <w:r>
        <w:rPr>
          <w:rFonts w:ascii="Times New Roman" w:hAnsi="Times New Roman" w:eastAsia="方正小标宋简体" w:cs="Times New Roman"/>
          <w:szCs w:val="44"/>
        </w:rPr>
        <w:fldChar w:fldCharType="end"/>
      </w:r>
    </w:p>
    <w:p>
      <w:pPr>
        <w:pStyle w:val="9"/>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_Toc14148 </w:instrText>
      </w:r>
      <w:r>
        <w:rPr>
          <w:rFonts w:ascii="Times New Roman" w:hAnsi="Times New Roman" w:eastAsia="方正小标宋简体" w:cs="Times New Roman"/>
          <w:szCs w:val="44"/>
        </w:rPr>
        <w:fldChar w:fldCharType="separate"/>
      </w:r>
      <w:r>
        <w:rPr>
          <w:rFonts w:hint="eastAsia" w:ascii="仿宋" w:hAnsi="仿宋" w:eastAsia="仿宋" w:cs="仿宋"/>
          <w:szCs w:val="32"/>
        </w:rPr>
        <w:t>二、研究生党建与思想政治教育工作</w:t>
      </w:r>
      <w:r>
        <w:tab/>
      </w:r>
      <w:r>
        <w:fldChar w:fldCharType="begin"/>
      </w:r>
      <w:r>
        <w:instrText xml:space="preserve"> PAGEREF _Toc14148 \h </w:instrText>
      </w:r>
      <w:r>
        <w:fldChar w:fldCharType="separate"/>
      </w:r>
      <w:r>
        <w:t>4</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_Toc30494 </w:instrText>
      </w:r>
      <w:r>
        <w:rPr>
          <w:rFonts w:ascii="Times New Roman" w:hAnsi="Times New Roman" w:eastAsia="方正小标宋简体" w:cs="Times New Roman"/>
          <w:szCs w:val="44"/>
        </w:rPr>
        <w:fldChar w:fldCharType="separate"/>
      </w:r>
      <w:r>
        <w:rPr>
          <w:rFonts w:hint="eastAsia" w:ascii="仿宋" w:hAnsi="仿宋" w:eastAsia="仿宋" w:cs="仿宋"/>
        </w:rPr>
        <w:t>（一）加强思想政治队伍建设，多措并举抓好研究生思想政治教育工作</w:t>
      </w:r>
      <w:r>
        <w:tab/>
      </w:r>
      <w:r>
        <w:fldChar w:fldCharType="begin"/>
      </w:r>
      <w:r>
        <w:instrText xml:space="preserve"> PAGEREF _Toc30494 \h </w:instrText>
      </w:r>
      <w:r>
        <w:fldChar w:fldCharType="separate"/>
      </w:r>
      <w:r>
        <w:t>4</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_Toc676 </w:instrText>
      </w:r>
      <w:r>
        <w:rPr>
          <w:rFonts w:ascii="Times New Roman" w:hAnsi="Times New Roman" w:eastAsia="方正小标宋简体" w:cs="Times New Roman"/>
          <w:szCs w:val="44"/>
        </w:rPr>
        <w:fldChar w:fldCharType="separate"/>
      </w:r>
      <w:r>
        <w:rPr>
          <w:rFonts w:hint="eastAsia" w:ascii="仿宋" w:hAnsi="仿宋" w:eastAsia="仿宋" w:cs="仿宋"/>
        </w:rPr>
        <w:t>（二）完善心理育人工作体系,加强研究生心理健康教育</w:t>
      </w:r>
      <w:r>
        <w:tab/>
      </w:r>
      <w:r>
        <w:fldChar w:fldCharType="begin"/>
      </w:r>
      <w:r>
        <w:instrText xml:space="preserve"> PAGEREF _Toc676 \h </w:instrText>
      </w:r>
      <w:r>
        <w:fldChar w:fldCharType="separate"/>
      </w:r>
      <w:r>
        <w:t>5</w:t>
      </w:r>
      <w:r>
        <w:fldChar w:fldCharType="end"/>
      </w:r>
      <w:r>
        <w:rPr>
          <w:rFonts w:ascii="Times New Roman" w:hAnsi="Times New Roman" w:eastAsia="方正小标宋简体" w:cs="Times New Roman"/>
          <w:szCs w:val="44"/>
        </w:rPr>
        <w:fldChar w:fldCharType="end"/>
      </w:r>
    </w:p>
    <w:p>
      <w:pPr>
        <w:pStyle w:val="9"/>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_Toc10822 </w:instrText>
      </w:r>
      <w:r>
        <w:rPr>
          <w:rFonts w:ascii="Times New Roman" w:hAnsi="Times New Roman" w:eastAsia="方正小标宋简体" w:cs="Times New Roman"/>
          <w:szCs w:val="44"/>
        </w:rPr>
        <w:fldChar w:fldCharType="separate"/>
      </w:r>
      <w:r>
        <w:rPr>
          <w:rFonts w:hint="eastAsia" w:ascii="仿宋" w:hAnsi="仿宋" w:eastAsia="仿宋" w:cs="仿宋"/>
          <w:szCs w:val="32"/>
        </w:rPr>
        <w:t>三、学位与研究生教育年度主要工作和成绩</w:t>
      </w:r>
      <w:r>
        <w:tab/>
      </w:r>
      <w:r>
        <w:fldChar w:fldCharType="begin"/>
      </w:r>
      <w:r>
        <w:instrText xml:space="preserve"> PAGEREF _Toc10822 \h </w:instrText>
      </w:r>
      <w:r>
        <w:fldChar w:fldCharType="separate"/>
      </w:r>
      <w:r>
        <w:t>6</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_Toc4724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（一）加强研究生培养重点环节建设，提高研究生教育质量</w:t>
      </w:r>
      <w:r>
        <w:tab/>
      </w:r>
      <w:r>
        <w:fldChar w:fldCharType="begin"/>
      </w:r>
      <w:r>
        <w:instrText xml:space="preserve"> PAGEREF _Toc4724 \h </w:instrText>
      </w:r>
      <w:r>
        <w:fldChar w:fldCharType="separate"/>
      </w:r>
      <w:r>
        <w:t>6</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_Toc17307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（二）大力推进科教融合校企合作，积极探索协同育人模式</w:t>
      </w:r>
      <w:r>
        <w:tab/>
      </w:r>
      <w:r>
        <w:fldChar w:fldCharType="begin"/>
      </w:r>
      <w:r>
        <w:instrText xml:space="preserve"> PAGEREF _Toc17307 \h </w:instrText>
      </w:r>
      <w:r>
        <w:fldChar w:fldCharType="separate"/>
      </w:r>
      <w:r>
        <w:t>7</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_Toc7745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（三）积极推动研究生教育国际化，促进开放办学</w:t>
      </w:r>
      <w:r>
        <w:tab/>
      </w:r>
      <w:r>
        <w:fldChar w:fldCharType="begin"/>
      </w:r>
      <w:r>
        <w:instrText xml:space="preserve"> PAGEREF _Toc7745 \h </w:instrText>
      </w:r>
      <w:r>
        <w:fldChar w:fldCharType="separate"/>
      </w:r>
      <w:r>
        <w:t>8</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_Toc618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（四）强化导师立德树人职责，主体责任逐步落实</w:t>
      </w:r>
      <w:r>
        <w:tab/>
      </w:r>
      <w:r>
        <w:fldChar w:fldCharType="begin"/>
      </w:r>
      <w:r>
        <w:instrText xml:space="preserve"> PAGEREF _Toc618 \h </w:instrText>
      </w:r>
      <w:r>
        <w:fldChar w:fldCharType="separate"/>
      </w:r>
      <w:r>
        <w:t>9</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_Toc32339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（五）以赛促学以赛促研，提升研究生综合素养</w:t>
      </w:r>
      <w:r>
        <w:tab/>
      </w:r>
      <w:r>
        <w:fldChar w:fldCharType="begin"/>
      </w:r>
      <w:r>
        <w:instrText xml:space="preserve"> PAGEREF _Toc32339 \h </w:instrText>
      </w:r>
      <w:r>
        <w:fldChar w:fldCharType="separate"/>
      </w:r>
      <w:r>
        <w:t>10</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_Toc17245 </w:instrText>
      </w:r>
      <w:r>
        <w:rPr>
          <w:rFonts w:ascii="Times New Roman" w:hAnsi="Times New Roman" w:eastAsia="方正小标宋简体" w:cs="Times New Roman"/>
          <w:szCs w:val="44"/>
        </w:rPr>
        <w:fldChar w:fldCharType="separate"/>
      </w:r>
      <w:r>
        <w:rPr>
          <w:rFonts w:hint="eastAsia" w:ascii="仿宋" w:hAnsi="仿宋" w:eastAsia="仿宋" w:cs="仿宋"/>
          <w:lang w:val="en-US" w:eastAsia="zh-CN"/>
        </w:rPr>
        <w:t>（六）健全评价体系，强化质量监督</w:t>
      </w:r>
      <w:r>
        <w:tab/>
      </w:r>
      <w:r>
        <w:fldChar w:fldCharType="begin"/>
      </w:r>
      <w:r>
        <w:instrText xml:space="preserve"> PAGEREF _Toc17245 \h </w:instrText>
      </w:r>
      <w:r>
        <w:fldChar w:fldCharType="separate"/>
      </w:r>
      <w:r>
        <w:t>10</w:t>
      </w:r>
      <w:r>
        <w:fldChar w:fldCharType="end"/>
      </w:r>
      <w:r>
        <w:rPr>
          <w:rFonts w:ascii="Times New Roman" w:hAnsi="Times New Roman" w:eastAsia="方正小标宋简体" w:cs="Times New Roman"/>
          <w:szCs w:val="44"/>
        </w:rPr>
        <w:fldChar w:fldCharType="end"/>
      </w:r>
    </w:p>
    <w:p>
      <w:pPr>
        <w:pStyle w:val="9"/>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_Toc29729 </w:instrText>
      </w:r>
      <w:r>
        <w:rPr>
          <w:rFonts w:ascii="Times New Roman" w:hAnsi="Times New Roman" w:eastAsia="方正小标宋简体" w:cs="Times New Roman"/>
          <w:szCs w:val="44"/>
        </w:rPr>
        <w:fldChar w:fldCharType="separate"/>
      </w:r>
      <w:r>
        <w:rPr>
          <w:rFonts w:hint="eastAsia" w:ascii="仿宋" w:hAnsi="仿宋" w:eastAsia="仿宋" w:cs="仿宋"/>
          <w:szCs w:val="32"/>
        </w:rPr>
        <w:t>四、教育质量评估与分析</w:t>
      </w:r>
      <w:r>
        <w:tab/>
      </w:r>
      <w:r>
        <w:fldChar w:fldCharType="begin"/>
      </w:r>
      <w:r>
        <w:instrText xml:space="preserve"> PAGEREF _Toc29729 \h </w:instrText>
      </w:r>
      <w:r>
        <w:fldChar w:fldCharType="separate"/>
      </w:r>
      <w:r>
        <w:t>11</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_Toc9120 </w:instrText>
      </w:r>
      <w:r>
        <w:rPr>
          <w:rFonts w:ascii="Times New Roman" w:hAnsi="Times New Roman" w:eastAsia="方正小标宋简体" w:cs="Times New Roman"/>
          <w:szCs w:val="44"/>
        </w:rPr>
        <w:fldChar w:fldCharType="separate"/>
      </w:r>
      <w:r>
        <w:rPr>
          <w:rFonts w:hint="eastAsia" w:ascii="仿宋" w:hAnsi="仿宋" w:eastAsia="仿宋" w:cs="仿宋"/>
        </w:rPr>
        <w:t>（一）质量保障体系</w:t>
      </w:r>
      <w:r>
        <w:tab/>
      </w:r>
      <w:r>
        <w:fldChar w:fldCharType="begin"/>
      </w:r>
      <w:r>
        <w:instrText xml:space="preserve"> PAGEREF _Toc9120 \h </w:instrText>
      </w:r>
      <w:r>
        <w:fldChar w:fldCharType="separate"/>
      </w:r>
      <w:r>
        <w:t>11</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_Toc19311 </w:instrText>
      </w:r>
      <w:r>
        <w:rPr>
          <w:rFonts w:ascii="Times New Roman" w:hAnsi="Times New Roman" w:eastAsia="方正小标宋简体" w:cs="Times New Roman"/>
          <w:szCs w:val="44"/>
        </w:rPr>
        <w:fldChar w:fldCharType="separate"/>
      </w:r>
      <w:r>
        <w:rPr>
          <w:rFonts w:hint="eastAsia" w:ascii="仿宋" w:hAnsi="仿宋" w:eastAsia="仿宋" w:cs="仿宋"/>
        </w:rPr>
        <w:t>（二）学位论文质量</w:t>
      </w:r>
      <w:r>
        <w:tab/>
      </w:r>
      <w:r>
        <w:fldChar w:fldCharType="begin"/>
      </w:r>
      <w:r>
        <w:instrText xml:space="preserve"> PAGEREF _Toc19311 \h </w:instrText>
      </w:r>
      <w:r>
        <w:fldChar w:fldCharType="separate"/>
      </w:r>
      <w:r>
        <w:t>12</w:t>
      </w:r>
      <w:r>
        <w:fldChar w:fldCharType="end"/>
      </w:r>
      <w:r>
        <w:rPr>
          <w:rFonts w:ascii="Times New Roman" w:hAnsi="Times New Roman" w:eastAsia="方正小标宋简体" w:cs="Times New Roman"/>
          <w:szCs w:val="44"/>
        </w:rPr>
        <w:fldChar w:fldCharType="end"/>
      </w:r>
    </w:p>
    <w:p>
      <w:pPr>
        <w:pStyle w:val="9"/>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_Toc32264 </w:instrText>
      </w:r>
      <w:r>
        <w:rPr>
          <w:rFonts w:ascii="Times New Roman" w:hAnsi="Times New Roman" w:eastAsia="方正小标宋简体" w:cs="Times New Roman"/>
          <w:szCs w:val="44"/>
        </w:rPr>
        <w:fldChar w:fldCharType="separate"/>
      </w:r>
      <w:r>
        <w:rPr>
          <w:rFonts w:hint="eastAsia" w:ascii="仿宋" w:hAnsi="仿宋" w:eastAsia="仿宋" w:cs="仿宋"/>
          <w:szCs w:val="32"/>
        </w:rPr>
        <w:t>五、改进措施</w:t>
      </w:r>
      <w:r>
        <w:tab/>
      </w:r>
      <w:r>
        <w:fldChar w:fldCharType="begin"/>
      </w:r>
      <w:r>
        <w:instrText xml:space="preserve"> PAGEREF _Toc32264 \h </w:instrText>
      </w:r>
      <w:r>
        <w:fldChar w:fldCharType="separate"/>
      </w:r>
      <w:r>
        <w:t>12</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_Toc16737 </w:instrText>
      </w:r>
      <w:r>
        <w:rPr>
          <w:rFonts w:ascii="Times New Roman" w:hAnsi="Times New Roman" w:eastAsia="方正小标宋简体" w:cs="Times New Roman"/>
          <w:szCs w:val="44"/>
        </w:rPr>
        <w:fldChar w:fldCharType="separate"/>
      </w:r>
      <w:r>
        <w:rPr>
          <w:rFonts w:hint="eastAsia" w:ascii="仿宋" w:hAnsi="仿宋" w:eastAsia="仿宋" w:cs="仿宋"/>
        </w:rPr>
        <w:t>（一）坚持立德树人，构建全过程全方位研究生思想政治教育体系</w:t>
      </w:r>
      <w:r>
        <w:tab/>
      </w:r>
      <w:r>
        <w:fldChar w:fldCharType="begin"/>
      </w:r>
      <w:r>
        <w:instrText xml:space="preserve"> PAGEREF _Toc16737 \h </w:instrText>
      </w:r>
      <w:r>
        <w:fldChar w:fldCharType="separate"/>
      </w:r>
      <w:r>
        <w:t>12</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_Toc6750 </w:instrText>
      </w:r>
      <w:r>
        <w:rPr>
          <w:rFonts w:ascii="Times New Roman" w:hAnsi="Times New Roman" w:eastAsia="方正小标宋简体" w:cs="Times New Roman"/>
          <w:szCs w:val="44"/>
        </w:rPr>
        <w:fldChar w:fldCharType="separate"/>
      </w:r>
      <w:r>
        <w:rPr>
          <w:rFonts w:hint="eastAsia" w:ascii="仿宋" w:hAnsi="仿宋" w:eastAsia="仿宋" w:cs="仿宋"/>
        </w:rPr>
        <w:t>（二）突出学科引领，强化学科专业体系建设，提升学位点培养质量</w:t>
      </w:r>
      <w:r>
        <w:tab/>
      </w:r>
      <w:r>
        <w:fldChar w:fldCharType="begin"/>
      </w:r>
      <w:r>
        <w:instrText xml:space="preserve"> PAGEREF _Toc6750 \h </w:instrText>
      </w:r>
      <w:r>
        <w:fldChar w:fldCharType="separate"/>
      </w:r>
      <w:r>
        <w:t>13</w:t>
      </w:r>
      <w:r>
        <w:fldChar w:fldCharType="end"/>
      </w:r>
      <w:r>
        <w:rPr>
          <w:rFonts w:ascii="Times New Roman" w:hAnsi="Times New Roman" w:eastAsia="方正小标宋简体" w:cs="Times New Roman"/>
          <w:szCs w:val="44"/>
        </w:rPr>
        <w:fldChar w:fldCharType="end"/>
      </w:r>
    </w:p>
    <w:p>
      <w:pPr>
        <w:pStyle w:val="10"/>
        <w:tabs>
          <w:tab w:val="right" w:leader="dot" w:pos="8306"/>
          <w:tab w:val="clear" w:pos="8296"/>
        </w:tabs>
      </w:pPr>
      <w:r>
        <w:rPr>
          <w:rFonts w:ascii="Times New Roman" w:hAnsi="Times New Roman" w:eastAsia="方正小标宋简体" w:cs="Times New Roman"/>
          <w:szCs w:val="44"/>
        </w:rPr>
        <w:fldChar w:fldCharType="begin"/>
      </w:r>
      <w:r>
        <w:rPr>
          <w:rFonts w:ascii="Times New Roman" w:hAnsi="Times New Roman" w:eastAsia="方正小标宋简体" w:cs="Times New Roman"/>
          <w:szCs w:val="44"/>
        </w:rPr>
        <w:instrText xml:space="preserve"> HYPERLINK \l _Toc18685 </w:instrText>
      </w:r>
      <w:r>
        <w:rPr>
          <w:rFonts w:ascii="Times New Roman" w:hAnsi="Times New Roman" w:eastAsia="方正小标宋简体" w:cs="Times New Roman"/>
          <w:szCs w:val="44"/>
        </w:rPr>
        <w:fldChar w:fldCharType="separate"/>
      </w:r>
      <w:r>
        <w:rPr>
          <w:rFonts w:hint="eastAsia" w:ascii="仿宋" w:hAnsi="仿宋" w:eastAsia="仿宋" w:cs="仿宋"/>
        </w:rPr>
        <w:t>（三）创新机制体制，完善人才培养体系</w:t>
      </w:r>
      <w:r>
        <w:tab/>
      </w:r>
      <w:r>
        <w:fldChar w:fldCharType="begin"/>
      </w:r>
      <w:r>
        <w:instrText xml:space="preserve"> PAGEREF _Toc18685 \h </w:instrText>
      </w:r>
      <w:r>
        <w:fldChar w:fldCharType="separate"/>
      </w:r>
      <w:r>
        <w:t>14</w:t>
      </w:r>
      <w:r>
        <w:fldChar w:fldCharType="end"/>
      </w:r>
      <w:r>
        <w:rPr>
          <w:rFonts w:ascii="Times New Roman" w:hAnsi="Times New Roman" w:eastAsia="方正小标宋简体" w:cs="Times New Roman"/>
          <w:szCs w:val="44"/>
        </w:rPr>
        <w:fldChar w:fldCharType="end"/>
      </w:r>
    </w:p>
    <w:p>
      <w:pPr>
        <w:widowControl/>
        <w:adjustRightInd w:val="0"/>
        <w:snapToGrid w:val="0"/>
        <w:spacing w:before="100" w:beforeAutospacing="1" w:after="100" w:afterAutospacing="1" w:line="36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Cs w:val="44"/>
        </w:rPr>
        <w:fldChar w:fldCharType="end"/>
      </w:r>
    </w:p>
    <w:p>
      <w:pPr>
        <w:pStyle w:val="3"/>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p>
      <w:pPr>
        <w:pStyle w:val="3"/>
        <w:rPr>
          <w:rFonts w:ascii="Times New Roman" w:hAnsi="Times New Roman" w:eastAsia="方正小标宋简体" w:cs="Times New Roman"/>
          <w:sz w:val="44"/>
          <w:szCs w:val="44"/>
        </w:rPr>
      </w:pPr>
    </w:p>
    <w:p>
      <w:pPr>
        <w:pStyle w:val="3"/>
        <w:ind w:firstLine="0"/>
      </w:pPr>
    </w:p>
    <w:p>
      <w:pPr>
        <w:widowControl/>
        <w:adjustRightInd w:val="0"/>
        <w:snapToGrid w:val="0"/>
        <w:spacing w:before="100" w:beforeAutospacing="1" w:after="100" w:afterAutospacing="1" w:line="360" w:lineRule="auto"/>
        <w:ind w:firstLine="720"/>
        <w:jc w:val="left"/>
        <w:rPr>
          <w:rFonts w:ascii="仿宋" w:hAnsi="仿宋" w:eastAsia="仿宋" w:cs="宋体"/>
          <w:kern w:val="0"/>
          <w:sz w:val="30"/>
          <w:szCs w:val="30"/>
        </w:rPr>
      </w:pPr>
    </w:p>
    <w:p>
      <w:pPr>
        <w:adjustRightInd w:val="0"/>
        <w:snapToGrid w:val="0"/>
        <w:spacing w:line="360" w:lineRule="auto"/>
        <w:ind w:firstLine="640"/>
        <w:rPr>
          <w:rFonts w:ascii="仿宋" w:hAnsi="仿宋" w:eastAsia="仿宋" w:cs="宋体"/>
          <w:kern w:val="0"/>
          <w:sz w:val="30"/>
          <w:szCs w:val="30"/>
        </w:rPr>
      </w:pPr>
    </w:p>
    <w:p>
      <w:pPr>
        <w:adjustRightInd w:val="0"/>
        <w:snapToGrid w:val="0"/>
        <w:spacing w:line="360" w:lineRule="auto"/>
        <w:ind w:firstLine="640"/>
        <w:rPr>
          <w:rFonts w:ascii="仿宋" w:hAnsi="仿宋" w:eastAsia="仿宋" w:cs="宋体"/>
          <w:kern w:val="0"/>
          <w:sz w:val="30"/>
          <w:szCs w:val="30"/>
        </w:rPr>
      </w:pPr>
    </w:p>
    <w:p>
      <w:pPr>
        <w:adjustRightInd w:val="0"/>
        <w:snapToGrid w:val="0"/>
        <w:spacing w:line="360" w:lineRule="auto"/>
        <w:rPr>
          <w:rFonts w:ascii="仿宋" w:hAnsi="仿宋" w:eastAsia="仿宋" w:cs="宋体"/>
          <w:kern w:val="0"/>
          <w:sz w:val="30"/>
          <w:szCs w:val="30"/>
        </w:rPr>
        <w:sectPr>
          <w:pgSz w:w="11906" w:h="16838"/>
          <w:pgMar w:top="1440" w:right="1800" w:bottom="1440" w:left="1800" w:header="851" w:footer="992" w:gutter="0"/>
          <w:cols w:space="425" w:num="1"/>
          <w:docGrid w:type="lines" w:linePitch="312" w:charSpace="0"/>
        </w:sectPr>
      </w:pPr>
      <w:bookmarkStart w:id="26" w:name="_GoBack"/>
      <w:bookmarkEnd w:id="26"/>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研究生教育是学校核心竞争力和社会影响力的集中体现，高质量的研究生教育必将推动学校实现高质量发展。学校始终坚持以习近平新时代中国特色社会主义思想为指导，贯彻落实党的十八大、十九大、二十大精神，认真落实全国教育大会精神、全国研究生教育会议精神和习近平总书记关于研究生教育的重要讲话重要指示精神，坚持社会主义办学方向，坚持党的教育方针，以“立德树人、服务需求、提高质量、追求卓越”为工作主线，实现获批博士学位授予单位、办学层次得到提升。同时，以社会需求为导向，以创新人才培养模式为抓手，以导师队伍建设为重点，完善机制、整合资源、加大投入，学校的研究生教育持续呈现良好的发展态势。</w:t>
      </w:r>
    </w:p>
    <w:p>
      <w:pPr>
        <w:pStyle w:val="2"/>
        <w:ind w:firstLine="643" w:firstLineChars="200"/>
        <w:rPr>
          <w:rFonts w:ascii="仿宋" w:hAnsi="仿宋" w:eastAsia="仿宋" w:cs="仿宋"/>
          <w:sz w:val="32"/>
          <w:szCs w:val="32"/>
        </w:rPr>
      </w:pPr>
      <w:bookmarkStart w:id="0" w:name="_Toc17891"/>
      <w:r>
        <w:rPr>
          <w:rFonts w:hint="eastAsia" w:ascii="仿宋" w:hAnsi="仿宋" w:eastAsia="仿宋" w:cs="仿宋"/>
          <w:sz w:val="32"/>
          <w:szCs w:val="32"/>
        </w:rPr>
        <w:t>一、学校学位与研究生教育总体概况</w:t>
      </w:r>
      <w:bookmarkEnd w:id="0"/>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学校学位与研究生教育坚持“立德树人、服务需求、提高质量、追求卓越”的主线，实施研究生教育创新计划和质量提升计划，以项目为引导，逐步提高研究生创新能力和实践能力；推进研究生培养模式改革，逐渐形成了以创新能力提升为核心的学术学位研究生培养模式和以职业能力为导向的专业学位研究生培养模式；以学位授权点合格评估、论文送检、质量报告等为抓手，逐步完善质量保障体系。</w:t>
      </w:r>
    </w:p>
    <w:p>
      <w:pPr>
        <w:pStyle w:val="3"/>
        <w:rPr>
          <w:rFonts w:ascii="仿宋" w:hAnsi="仿宋" w:eastAsia="仿宋" w:cs="仿宋"/>
          <w:sz w:val="32"/>
        </w:rPr>
      </w:pPr>
      <w:bookmarkStart w:id="1" w:name="_Toc31527"/>
      <w:r>
        <w:rPr>
          <w:rFonts w:hint="eastAsia" w:ascii="仿宋" w:hAnsi="仿宋" w:eastAsia="仿宋" w:cs="仿宋"/>
          <w:sz w:val="32"/>
        </w:rPr>
        <w:t>（一）学位授权点</w:t>
      </w:r>
      <w:bookmarkEnd w:id="1"/>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学校2003年成为硕士学位授予单位，2006年起与南方医科大学、广州中医药大学等合作培养博士生，2010年建立博士后工作站，2017年成为广东省博士学位授予立项建设单位。2022年我校通过国务院学位办的核查，新增列为博士授予单位。学校现有中西医结合博士授权一级学科，药学、公共卫生与预防医学、基础医学、中西医结合、生物工程5个硕士授权一级学科，药学、中药学、临床医学、公共卫生、护理、生物与医药、电子信息7个硕士专业学位授权类别，1个博士工作站和2个博士后工作站，彰显了我校“以药为主、药医结合、药工融合，多学科协调发展”办学特色。</w:t>
      </w:r>
    </w:p>
    <w:p>
      <w:pPr>
        <w:pStyle w:val="3"/>
        <w:rPr>
          <w:rFonts w:ascii="仿宋" w:hAnsi="仿宋" w:eastAsia="仿宋" w:cs="仿宋"/>
          <w:sz w:val="32"/>
        </w:rPr>
      </w:pPr>
      <w:bookmarkStart w:id="2" w:name="_Toc21095"/>
      <w:r>
        <w:rPr>
          <w:rFonts w:hint="eastAsia" w:ascii="仿宋" w:hAnsi="仿宋" w:eastAsia="仿宋" w:cs="仿宋"/>
          <w:sz w:val="32"/>
        </w:rPr>
        <w:t>（二）重点学科</w:t>
      </w:r>
      <w:bookmarkEnd w:id="2"/>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学校拥有省部级以上重点学科7个，其中广东省攀峰重点学科1个（中西医结合）、省优势重点学科3个（药学、中药学、药剂学）、省重点培育学科1个（化学工程与技术）、国家中医药管理局中医药重点学科2个（中西医结合、中药分析学）。拥有药理学与毒理学</w:t>
      </w:r>
      <w:r>
        <w:rPr>
          <w:rFonts w:hint="eastAsia" w:eastAsia="方正仿宋_GB2312"/>
          <w:sz w:val="24"/>
        </w:rPr>
        <w:t>（4‰）</w:t>
      </w:r>
      <w:r>
        <w:rPr>
          <w:rFonts w:hint="eastAsia" w:ascii="仿宋" w:hAnsi="仿宋" w:eastAsia="仿宋" w:cs="仿宋"/>
          <w:kern w:val="0"/>
          <w:sz w:val="32"/>
          <w:szCs w:val="32"/>
        </w:rPr>
        <w:t>、临床医学</w:t>
      </w:r>
      <w:r>
        <w:rPr>
          <w:rFonts w:hint="eastAsia" w:eastAsia="方正仿宋_GB2312"/>
          <w:sz w:val="24"/>
        </w:rPr>
        <w:t>（5‰）</w:t>
      </w:r>
      <w:r>
        <w:rPr>
          <w:rFonts w:hint="eastAsia" w:ascii="仿宋" w:hAnsi="仿宋" w:eastAsia="仿宋" w:cs="仿宋"/>
          <w:kern w:val="0"/>
          <w:sz w:val="32"/>
          <w:szCs w:val="32"/>
        </w:rPr>
        <w:t>、化学</w:t>
      </w:r>
      <w:r>
        <w:rPr>
          <w:rFonts w:hint="eastAsia" w:eastAsia="方正仿宋_GB2312"/>
          <w:sz w:val="24"/>
        </w:rPr>
        <w:t>（7‰）</w:t>
      </w:r>
      <w:r>
        <w:rPr>
          <w:rFonts w:hint="eastAsia" w:ascii="仿宋" w:hAnsi="仿宋" w:eastAsia="仿宋" w:cs="仿宋"/>
          <w:kern w:val="0"/>
          <w:sz w:val="32"/>
          <w:szCs w:val="32"/>
        </w:rPr>
        <w:t>、农业科学等4个ESI世界前1%学科，学校ESI学科总排名居全国高校第223位。学校3个学科上榜“2022软科中国最好学科排名”，其中中西医结合保持全国第4，药学位列全国第36位，公共卫生与预防医学位列全国第34。在省教育厅“冲补强”提升计划三年建设期满成效考核中学校整体、药学及中西医结合学科均获A等级。2022、2023 学校连续两年自然指数进入全球TOP200。</w:t>
      </w:r>
    </w:p>
    <w:p>
      <w:pPr>
        <w:pStyle w:val="3"/>
        <w:rPr>
          <w:rFonts w:ascii="仿宋" w:hAnsi="仿宋" w:eastAsia="仿宋" w:cs="仿宋"/>
          <w:sz w:val="32"/>
        </w:rPr>
      </w:pPr>
      <w:bookmarkStart w:id="3" w:name="_Toc9390"/>
      <w:r>
        <w:rPr>
          <w:rFonts w:hint="eastAsia" w:ascii="仿宋" w:hAnsi="仿宋" w:eastAsia="仿宋" w:cs="仿宋"/>
          <w:sz w:val="32"/>
        </w:rPr>
        <w:t>（三）研究生年度状态数据</w:t>
      </w:r>
      <w:bookmarkEnd w:id="3"/>
    </w:p>
    <w:p>
      <w:pPr>
        <w:spacing w:line="360" w:lineRule="auto"/>
        <w:ind w:firstLine="640" w:firstLineChars="200"/>
        <w:rPr>
          <w:rStyle w:val="19"/>
          <w:rFonts w:ascii="Times New Roman" w:hAnsi="Times New Roman" w:eastAsia="仿宋" w:cs="Times New Roman"/>
          <w:sz w:val="32"/>
          <w:szCs w:val="32"/>
        </w:rPr>
      </w:pPr>
      <w:r>
        <w:rPr>
          <w:rStyle w:val="19"/>
          <w:rFonts w:hint="eastAsia" w:ascii="Times New Roman" w:hAnsi="Times New Roman" w:eastAsia="仿宋" w:cs="Times New Roman"/>
          <w:sz w:val="32"/>
          <w:szCs w:val="32"/>
        </w:rPr>
        <w:t>实行“申请-考核制”圆满完成中西医结合博士点首次招生。经资格审查、初选、复试等一系列符合相关法规流程操作，最终录取8人。整个研究生招生过程实现零投诉，均一次性通过教育部的录取检查。</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2023年我校共招收博士研究生8人，硕士研究生916人，其中学术学位292人，占比31.88%；专业学位624人（含退役大学生士兵计划4人）占比68.12%；招收国际产学研用联合培养专项研究生20名，粤港澳联合培养专项研究生22名。目前，硕士在读2665人。2023年毕业700人，其中学术学位228人，专业学位472人；授予学位670人，其中学术学位217人，专业学位453人，学位授予率95.7%。2023届硕士研究生的就业率为90.06%。</w:t>
      </w:r>
    </w:p>
    <w:p>
      <w:pPr>
        <w:pStyle w:val="3"/>
        <w:rPr>
          <w:rFonts w:ascii="仿宋" w:hAnsi="仿宋" w:eastAsia="仿宋" w:cs="仿宋"/>
          <w:sz w:val="32"/>
        </w:rPr>
      </w:pPr>
      <w:bookmarkStart w:id="4" w:name="_Toc11828"/>
      <w:r>
        <w:rPr>
          <w:rFonts w:hint="eastAsia" w:ascii="仿宋" w:hAnsi="仿宋" w:eastAsia="仿宋" w:cs="仿宋"/>
          <w:sz w:val="32"/>
        </w:rPr>
        <w:t>（四）导师队伍规模及结构</w:t>
      </w:r>
      <w:bookmarkEnd w:id="4"/>
    </w:p>
    <w:p>
      <w:pPr>
        <w:adjustRightInd w:val="0"/>
        <w:snapToGrid w:val="0"/>
        <w:spacing w:line="360" w:lineRule="auto"/>
        <w:ind w:firstLine="640"/>
        <w:rPr>
          <w:rFonts w:ascii="仿宋" w:hAnsi="仿宋" w:eastAsia="仿宋" w:cs="仿宋"/>
          <w:b w:val="0"/>
          <w:bCs w:val="0"/>
          <w:kern w:val="0"/>
          <w:sz w:val="32"/>
          <w:szCs w:val="32"/>
        </w:rPr>
      </w:pPr>
      <w:r>
        <w:rPr>
          <w:rFonts w:hint="eastAsia" w:ascii="仿宋" w:hAnsi="仿宋" w:eastAsia="仿宋" w:cs="仿宋"/>
          <w:b w:val="0"/>
          <w:bCs w:val="0"/>
          <w:kern w:val="0"/>
          <w:sz w:val="32"/>
          <w:szCs w:val="32"/>
        </w:rPr>
        <w:t>1.</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导师队伍</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现有校内博士导师21人、硕导424人，校外导师646人。校外导师中外聘导师136人，行业导师510人。</w:t>
      </w:r>
    </w:p>
    <w:p>
      <w:pPr>
        <w:numPr>
          <w:ilvl w:val="0"/>
          <w:numId w:val="1"/>
        </w:numPr>
        <w:adjustRightInd w:val="0"/>
        <w:snapToGrid w:val="0"/>
        <w:spacing w:line="360" w:lineRule="auto"/>
        <w:ind w:firstLine="640"/>
        <w:rPr>
          <w:rFonts w:ascii="仿宋" w:hAnsi="仿宋" w:eastAsia="仿宋" w:cs="仿宋"/>
          <w:b w:val="0"/>
          <w:bCs w:val="0"/>
          <w:kern w:val="0"/>
          <w:sz w:val="32"/>
          <w:szCs w:val="32"/>
        </w:rPr>
      </w:pPr>
      <w:r>
        <w:rPr>
          <w:rFonts w:hint="eastAsia" w:ascii="仿宋" w:hAnsi="仿宋" w:eastAsia="仿宋" w:cs="仿宋"/>
          <w:b w:val="0"/>
          <w:bCs w:val="0"/>
          <w:kern w:val="0"/>
          <w:sz w:val="32"/>
          <w:szCs w:val="32"/>
        </w:rPr>
        <w:t>导师结构</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（1）年龄结构</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研究生导师（含外聘导师）中，45岁以下234人，占41.8%；45岁（含）至54岁203人，占36.2%；55岁及以上123人，占22%。</w:t>
      </w:r>
    </w:p>
    <w:p>
      <w:pPr>
        <w:adjustRightInd w:val="0"/>
        <w:snapToGrid w:val="0"/>
        <w:spacing w:line="360" w:lineRule="auto"/>
        <w:ind w:firstLine="640"/>
        <w:rPr>
          <w:rFonts w:ascii="仿宋" w:hAnsi="仿宋" w:eastAsia="仿宋" w:cs="仿宋"/>
          <w:kern w:val="0"/>
          <w:sz w:val="32"/>
          <w:szCs w:val="32"/>
        </w:rPr>
      </w:pPr>
      <w:r>
        <w:drawing>
          <wp:inline distT="0" distB="0" distL="114300" distR="114300">
            <wp:extent cx="4788535" cy="2584450"/>
            <wp:effectExtent l="4445" t="4445" r="7620" b="59055"/>
            <wp:docPr id="2" name="图表 1" descr="7b0a202020202263686172745265734964223a202232303437353935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职称结构</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博士生导师职称均为正高级。硕士生导师正高级职称259人，占46.2%，副高级职称234人，占41.2%，中级职称67人，占 12%。</w:t>
      </w:r>
    </w:p>
    <w:p>
      <w:pPr>
        <w:adjustRightInd w:val="0"/>
        <w:snapToGrid w:val="0"/>
        <w:spacing w:line="360" w:lineRule="auto"/>
        <w:ind w:firstLine="420" w:firstLineChars="200"/>
        <w:rPr>
          <w:rFonts w:ascii="仿宋" w:hAnsi="仿宋" w:eastAsia="仿宋" w:cs="仿宋"/>
          <w:kern w:val="0"/>
          <w:sz w:val="32"/>
          <w:szCs w:val="32"/>
        </w:rPr>
      </w:pPr>
      <w:r>
        <w:drawing>
          <wp:inline distT="0" distB="0" distL="114300" distR="114300">
            <wp:extent cx="4826000" cy="2422525"/>
            <wp:effectExtent l="4445" t="4445" r="8255" b="49530"/>
            <wp:docPr id="3" name="图表 1" descr="7b0a202020202263686172745265734964223a202232303437353935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ind w:firstLine="643" w:firstLineChars="200"/>
        <w:rPr>
          <w:rFonts w:ascii="仿宋" w:hAnsi="仿宋" w:eastAsia="仿宋" w:cs="仿宋"/>
          <w:sz w:val="32"/>
          <w:szCs w:val="32"/>
        </w:rPr>
      </w:pPr>
      <w:bookmarkStart w:id="5" w:name="_Toc14148"/>
      <w:r>
        <w:rPr>
          <w:rFonts w:hint="eastAsia" w:ascii="仿宋" w:hAnsi="仿宋" w:eastAsia="仿宋" w:cs="仿宋"/>
          <w:sz w:val="32"/>
          <w:szCs w:val="32"/>
        </w:rPr>
        <w:t>二、研究生党建与思想政治教育工作</w:t>
      </w:r>
      <w:bookmarkEnd w:id="5"/>
    </w:p>
    <w:p>
      <w:pPr>
        <w:pStyle w:val="3"/>
        <w:rPr>
          <w:rFonts w:ascii="仿宋" w:hAnsi="仿宋" w:eastAsia="仿宋" w:cs="仿宋"/>
          <w:sz w:val="32"/>
        </w:rPr>
      </w:pPr>
      <w:bookmarkStart w:id="6" w:name="_Toc30494"/>
      <w:r>
        <w:rPr>
          <w:rFonts w:hint="eastAsia" w:ascii="仿宋" w:hAnsi="仿宋" w:eastAsia="仿宋" w:cs="仿宋"/>
          <w:sz w:val="32"/>
        </w:rPr>
        <w:t>（一）加强思想政治队伍建设，多措并举抓好研究生思想政治教育工作</w:t>
      </w:r>
      <w:bookmarkEnd w:id="6"/>
    </w:p>
    <w:p>
      <w:pPr>
        <w:adjustRightInd w:val="0"/>
        <w:snapToGrid w:val="0"/>
        <w:spacing w:line="360" w:lineRule="auto"/>
        <w:ind w:firstLine="640"/>
        <w:rPr>
          <w:rFonts w:ascii="仿宋" w:hAnsi="仿宋" w:eastAsia="仿宋" w:cs="仿宋"/>
          <w:sz w:val="32"/>
          <w:szCs w:val="32"/>
        </w:rPr>
      </w:pPr>
      <w:r>
        <w:rPr>
          <w:rFonts w:hint="eastAsia" w:ascii="仿宋" w:hAnsi="仿宋" w:eastAsia="仿宋" w:cs="仿宋"/>
          <w:kern w:val="0"/>
          <w:sz w:val="32"/>
          <w:szCs w:val="32"/>
        </w:rPr>
        <w:t xml:space="preserve">1. </w:t>
      </w:r>
      <w:r>
        <w:rPr>
          <w:rFonts w:hint="eastAsia" w:ascii="仿宋" w:hAnsi="仿宋" w:eastAsia="仿宋" w:cs="仿宋"/>
          <w:sz w:val="32"/>
          <w:szCs w:val="32"/>
        </w:rPr>
        <w:t>2023年共举办3次“广药大学工沙龙”。分六批选送28名辅导员至省内外参加党建与思想政治教育、辅导员综合能力提升、网络素养提升与网络舆情应对、突发事件应对等专项培训，组织17名辅导员参加高校注册心理咨询师培训</w:t>
      </w:r>
      <w:r>
        <w:rPr>
          <w:rFonts w:hint="eastAsia" w:ascii="仿宋" w:hAnsi="仿宋" w:eastAsia="仿宋" w:cs="仿宋"/>
          <w:kern w:val="0"/>
          <w:sz w:val="32"/>
          <w:szCs w:val="32"/>
        </w:rPr>
        <w:t>通过培训，组织45人参加就业指导师资TTT培训。</w:t>
      </w:r>
      <w:r>
        <w:rPr>
          <w:rFonts w:hint="eastAsia" w:ascii="仿宋" w:hAnsi="仿宋" w:eastAsia="仿宋" w:cs="仿宋"/>
          <w:sz w:val="32"/>
          <w:szCs w:val="32"/>
        </w:rPr>
        <w:t>另推荐1名老师代表我校参加2022年广东高校辅导员年度人物评选，推荐2个项目参加高校思想政治工作精品项目申报，为辅导员队伍专业化、职业化发展提供有力支撑。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织开展学生工作谈心工程和五个一工程，采用个体辅导与团体辅导、“谈心”与“四进”工作制度相结合，辅以微信、公众号等贴近学生生活的方式进行，全面掌握学生基本情况及思想心理动态，完善各级信息反馈系统，形成学生动态汇报机制，消除安全隐患，取得良好工作效果。以主题班会、宣传、征文等多形式开展爱国主义、理想信念、国情、安全、道德品质、法律法规、爱校荣校、职业生涯规划等主题教育，并加大网络思政教育工作。</w:t>
      </w:r>
    </w:p>
    <w:p>
      <w:pPr>
        <w:spacing w:line="560" w:lineRule="exact"/>
        <w:ind w:left="142" w:firstLine="496" w:firstLineChars="155"/>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印发《广东药科大学2023年就业创业工作促进措施二十二条》（广药大党发〔2023〕26号），开展书记校长访企拓岗促就业专项行动等。同时组织毕业研究生参加省、市各相关部门举办的各种主题的线上线下招聘会和学校举办的校园宣讲招聘会。</w:t>
      </w:r>
    </w:p>
    <w:p>
      <w:pPr>
        <w:pStyle w:val="3"/>
        <w:rPr>
          <w:rFonts w:ascii="仿宋" w:hAnsi="仿宋" w:eastAsia="仿宋" w:cs="仿宋"/>
          <w:sz w:val="32"/>
        </w:rPr>
      </w:pPr>
      <w:bookmarkStart w:id="7" w:name="_Toc676"/>
      <w:r>
        <w:rPr>
          <w:rFonts w:hint="eastAsia" w:ascii="仿宋" w:hAnsi="仿宋" w:eastAsia="仿宋" w:cs="仿宋"/>
          <w:sz w:val="32"/>
        </w:rPr>
        <w:t>（二）完善心理育人工作体系,加强研究生心理健康教育</w:t>
      </w:r>
      <w:bookmarkEnd w:id="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 以宣传教育为主渠道，525心理健康系列活动为阵地，全面普及心理健康知识。线上线下结合方式举办5·25心理健康活动月系列活动：线上开展“寻幸之旅，看见自己”七日线上分享活动；线下活动以游园会的形式，包含多种心理测试、趣味小游戏、现场心理咨询、沙盘体验、荧光夜跑、现场暖心互动等；选送24项作品参加广东省2023年心理健康月系统活动评选，编辑并印刷派发3期“采心”报，以宿舍为单位发放到学生手中。</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sz w:val="32"/>
          <w:szCs w:val="32"/>
        </w:rPr>
        <w:t>2. 完善二级心理辅导站建设，加强“学校—学院—班级—宿舍”四级联动心理健康工作体系建设,形成“预防-预警-干预”信息网络。建立学生心理健康档案和重点关注学生心理动态档。2023年10月开展新生心理健康测评和心理访谈，共完成2023级新生心理测试，筛查出需要心理访谈学生由心理咨询中心进行重点访谈。根据学生的危机严重程度，分</w:t>
      </w:r>
      <w:r>
        <w:rPr>
          <w:rFonts w:hint="eastAsia" w:ascii="仿宋" w:hAnsi="仿宋" w:eastAsia="仿宋" w:cs="仿宋"/>
          <w:kern w:val="0"/>
          <w:sz w:val="32"/>
          <w:szCs w:val="32"/>
        </w:rPr>
        <w:t>类预警，进行有针对性的帮扶、指导和必要的心理干预，做到防微杜渐、提前介入。</w:t>
      </w:r>
    </w:p>
    <w:p>
      <w:pPr>
        <w:pStyle w:val="2"/>
        <w:ind w:firstLine="643" w:firstLineChars="200"/>
        <w:rPr>
          <w:rFonts w:hint="eastAsia" w:ascii="仿宋" w:hAnsi="仿宋" w:eastAsia="仿宋" w:cs="仿宋"/>
          <w:sz w:val="32"/>
          <w:szCs w:val="32"/>
        </w:rPr>
      </w:pPr>
      <w:r>
        <w:rPr>
          <w:rFonts w:hint="eastAsia" w:ascii="仿宋" w:hAnsi="仿宋" w:eastAsia="仿宋" w:cs="仿宋"/>
          <w:sz w:val="32"/>
          <w:szCs w:val="32"/>
        </w:rPr>
        <w:t xml:space="preserve"> </w:t>
      </w:r>
      <w:bookmarkStart w:id="8" w:name="_Toc10822"/>
      <w:r>
        <w:rPr>
          <w:rFonts w:hint="eastAsia" w:ascii="仿宋" w:hAnsi="仿宋" w:eastAsia="仿宋" w:cs="仿宋"/>
          <w:sz w:val="32"/>
          <w:szCs w:val="32"/>
        </w:rPr>
        <w:t>三、学位与研究生教育年度主要工作和成绩</w:t>
      </w:r>
      <w:bookmarkEnd w:id="8"/>
    </w:p>
    <w:p>
      <w:pPr>
        <w:pStyle w:val="3"/>
        <w:rPr>
          <w:rFonts w:hint="eastAsia" w:ascii="仿宋" w:hAnsi="仿宋" w:eastAsia="仿宋" w:cs="仿宋"/>
          <w:sz w:val="32"/>
          <w:lang w:val="en-US" w:eastAsia="zh-CN"/>
        </w:rPr>
      </w:pPr>
      <w:bookmarkStart w:id="9" w:name="_Toc4724"/>
      <w:r>
        <w:rPr>
          <w:rFonts w:hint="eastAsia" w:ascii="仿宋" w:hAnsi="仿宋" w:eastAsia="仿宋" w:cs="仿宋"/>
          <w:sz w:val="32"/>
          <w:lang w:val="en-US" w:eastAsia="zh-CN"/>
        </w:rPr>
        <w:t>（一）加强研究生培养重点环节建设，提高研究生教育质量</w:t>
      </w:r>
      <w:bookmarkEnd w:id="9"/>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 xml:space="preserve">. </w:t>
      </w:r>
      <w:r>
        <w:rPr>
          <w:rFonts w:hint="eastAsia" w:ascii="仿宋" w:hAnsi="仿宋" w:eastAsia="仿宋" w:cs="仿宋"/>
          <w:sz w:val="32"/>
        </w:rPr>
        <w:t>扎实推进研究生教育创新计划和质量提升计划。</w:t>
      </w:r>
      <w:r>
        <w:rPr>
          <w:rFonts w:hint="eastAsia" w:ascii="仿宋" w:hAnsi="仿宋" w:eastAsia="仿宋" w:cs="仿宋"/>
          <w:kern w:val="0"/>
          <w:sz w:val="32"/>
          <w:szCs w:val="32"/>
        </w:rPr>
        <w:t>2023年我校成功获批广东省研究生教育创新计划项目21 项，其中省级研究生示范课程 1门、省级研究生教育改革项目 11项、研究生示范基地 4个、专业学位研究生教学案例库建设 3个、研究生学术论坛 2个。目前已立项建设省级研究生示范课程 21门，省级示范课程占研究生开设总课程 21%；专业学位研究生教学案例库 8个；研究生联合培养基地 28个，省级示范基地占学校所建基地总数的17%。积极推进我校研究生“课程思政”示范课程与思政课程建设工作，共建设22门课程，其中20门研究生“课程思政”示范课程，2门“思政课程”建设课程。</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 xml:space="preserve">. </w:t>
      </w:r>
      <w:r>
        <w:rPr>
          <w:rFonts w:hint="eastAsia" w:ascii="Times New Roman" w:hAnsi="Times New Roman" w:eastAsia="仿宋" w:cs="Times New Roman"/>
          <w:sz w:val="32"/>
          <w:szCs w:val="32"/>
        </w:rPr>
        <w:t>深化研究生教育教学改革，创新教育方法。出台《广东药科大学研究生教育教学成果奖励办法》，评选出第一届学校研究生教育教学成果奖，全面梳理了我校研究生教育成果，有力的激发广大导师的爱岗敬业的工作热情，</w:t>
      </w:r>
      <w:r>
        <w:rPr>
          <w:rFonts w:hint="eastAsia" w:ascii="Times New Roman" w:hAnsi="Times New Roman" w:eastAsia="仿宋"/>
          <w:sz w:val="32"/>
          <w:szCs w:val="32"/>
        </w:rPr>
        <w:t>为布局和培育省级及国家级研究生教学成果奖打下坚实基础</w:t>
      </w:r>
      <w:r>
        <w:rPr>
          <w:rFonts w:hint="eastAsia" w:ascii="Times New Roman" w:hAnsi="Times New Roman" w:eastAsia="仿宋" w:cs="Times New Roman"/>
          <w:sz w:val="32"/>
          <w:szCs w:val="32"/>
        </w:rPr>
        <w:t>。创新教育方法，</w:t>
      </w:r>
      <w:r>
        <w:rPr>
          <w:rFonts w:ascii="Times New Roman" w:hAnsi="Times New Roman" w:eastAsia="仿宋" w:cs="Times New Roman"/>
          <w:sz w:val="32"/>
          <w:szCs w:val="32"/>
        </w:rPr>
        <w:t>开展专业学位研究生案例库建设、开展学位与研究生教育教学改革</w:t>
      </w:r>
      <w:r>
        <w:rPr>
          <w:rFonts w:hint="eastAsia" w:ascii="Times New Roman" w:hAnsi="Times New Roman" w:eastAsia="仿宋" w:cs="Times New Roman"/>
          <w:sz w:val="32"/>
          <w:szCs w:val="32"/>
        </w:rPr>
        <w:t>、建设省级示范研究生联合培养基地。</w:t>
      </w:r>
    </w:p>
    <w:p>
      <w:pPr>
        <w:pStyle w:val="3"/>
        <w:rPr>
          <w:rFonts w:hint="eastAsia" w:ascii="仿宋" w:hAnsi="仿宋" w:eastAsia="仿宋" w:cs="仿宋"/>
          <w:sz w:val="32"/>
          <w:lang w:val="en-US" w:eastAsia="zh-CN"/>
        </w:rPr>
      </w:pPr>
      <w:bookmarkStart w:id="10" w:name="_Toc17307"/>
      <w:r>
        <w:rPr>
          <w:rFonts w:hint="eastAsia" w:ascii="仿宋" w:hAnsi="仿宋" w:eastAsia="仿宋" w:cs="仿宋"/>
          <w:sz w:val="32"/>
          <w:lang w:val="en-US" w:eastAsia="zh-CN"/>
        </w:rPr>
        <w:t>（二）大力推进科教融合校企合作，积极探索协同育人模式</w:t>
      </w:r>
      <w:bookmarkEnd w:id="10"/>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 探索和完善协同创新与人才联合培养机制。学校与佛山市、东莞市、中山市的企业基地开展联合培养，构建实质性的“产教融合”培养模式。与香港大学等境内外高水平机构开展联合培养，不断创新“科教融合”培养模式。</w:t>
      </w:r>
    </w:p>
    <w:p>
      <w:pPr>
        <w:spacing w:line="560" w:lineRule="exact"/>
        <w:ind w:firstLine="640" w:firstLineChars="200"/>
        <w:rPr>
          <w:rFonts w:ascii="Times New Roman" w:hAnsi="Times New Roman" w:eastAsia="仿宋"/>
          <w:color w:val="000000"/>
          <w:sz w:val="32"/>
          <w:szCs w:val="32"/>
        </w:rPr>
      </w:pPr>
      <w:r>
        <w:rPr>
          <w:rFonts w:hint="eastAsia" w:ascii="仿宋" w:hAnsi="仿宋" w:eastAsia="仿宋" w:cs="仿宋"/>
          <w:kern w:val="0"/>
          <w:sz w:val="32"/>
          <w:szCs w:val="32"/>
        </w:rPr>
        <w:t>2. 开展校所（企）联合，推进分类培养。</w:t>
      </w:r>
      <w:r>
        <w:rPr>
          <w:rFonts w:hint="eastAsia" w:ascii="Times New Roman" w:hAnsi="Times New Roman" w:eastAsia="仿宋"/>
          <w:color w:val="000000"/>
          <w:sz w:val="32"/>
          <w:szCs w:val="32"/>
        </w:rPr>
        <w:t>与</w:t>
      </w:r>
      <w:bookmarkStart w:id="11" w:name="_Hlk145794453"/>
      <w:r>
        <w:rPr>
          <w:rFonts w:hint="eastAsia" w:ascii="Times New Roman" w:hAnsi="Times New Roman" w:eastAsia="仿宋"/>
          <w:color w:val="000000"/>
          <w:sz w:val="32"/>
          <w:szCs w:val="32"/>
        </w:rPr>
        <w:t>中科中山药物创新研究院</w:t>
      </w:r>
      <w:bookmarkEnd w:id="11"/>
      <w:bookmarkStart w:id="12" w:name="_Hlk145794575"/>
      <w:r>
        <w:rPr>
          <w:rFonts w:hint="eastAsia" w:ascii="Times New Roman" w:hAnsi="Times New Roman" w:eastAsia="仿宋"/>
          <w:color w:val="000000"/>
          <w:sz w:val="32"/>
          <w:szCs w:val="32"/>
        </w:rPr>
        <w:t>建设科教融合研究生联合培养基地，</w:t>
      </w:r>
      <w:bookmarkEnd w:id="12"/>
      <w:r>
        <w:rPr>
          <w:rFonts w:hint="eastAsia" w:ascii="Times New Roman" w:hAnsi="Times New Roman" w:eastAsia="仿宋"/>
          <w:color w:val="000000"/>
          <w:sz w:val="32"/>
          <w:szCs w:val="32"/>
        </w:rPr>
        <w:t>在药学专业</w:t>
      </w:r>
      <w:bookmarkStart w:id="13" w:name="_Hlk145794631"/>
      <w:r>
        <w:rPr>
          <w:rFonts w:hint="eastAsia" w:ascii="Times New Roman" w:hAnsi="Times New Roman" w:eastAsia="仿宋"/>
          <w:color w:val="000000"/>
          <w:sz w:val="32"/>
          <w:szCs w:val="32"/>
        </w:rPr>
        <w:t>设立“中科中山药物创新研究院创新班”</w:t>
      </w:r>
      <w:bookmarkEnd w:id="13"/>
      <w:bookmarkStart w:id="14" w:name="_Hlk145794687"/>
      <w:r>
        <w:rPr>
          <w:rFonts w:hint="eastAsia" w:ascii="Times New Roman" w:hAnsi="Times New Roman" w:eastAsia="仿宋"/>
          <w:color w:val="000000"/>
          <w:sz w:val="32"/>
          <w:szCs w:val="32"/>
        </w:rPr>
        <w:t>开展研究生联合培养</w:t>
      </w:r>
      <w:bookmarkEnd w:id="14"/>
      <w:r>
        <w:rPr>
          <w:rFonts w:hint="eastAsia" w:ascii="Times New Roman" w:hAnsi="Times New Roman" w:eastAsia="仿宋"/>
          <w:color w:val="000000"/>
          <w:sz w:val="32"/>
          <w:szCs w:val="32"/>
        </w:rPr>
        <w:t>，共同培养生物医药领域高层次人才，为大湾区生物医药产业发展提供人才支撑。与中科院华南植物园建设科教融合研究生联合培养基地，在中药学专业设立“中科院华南植物园创新班”，开展研究生联合培养，共同培养生态学、植物资源保护与利用关键技术等民生领域方面急需人才。研究生进入与国内一流科研院所联合培养专项计划，可实现产、学、研的深度互动，更好地成长为粤港澳大湾区经济社会发展所急需的创新型、复合型高层次人才。</w:t>
      </w:r>
    </w:p>
    <w:p>
      <w:pPr>
        <w:pStyle w:val="3"/>
        <w:rPr>
          <w:rFonts w:hint="eastAsia" w:ascii="仿宋" w:hAnsi="仿宋" w:eastAsia="仿宋" w:cs="仿宋"/>
          <w:sz w:val="32"/>
          <w:lang w:val="en-US" w:eastAsia="zh-CN"/>
        </w:rPr>
      </w:pPr>
      <w:bookmarkStart w:id="15" w:name="_Toc7745"/>
      <w:r>
        <w:rPr>
          <w:rFonts w:hint="eastAsia" w:ascii="仿宋" w:hAnsi="仿宋" w:eastAsia="仿宋" w:cs="仿宋"/>
          <w:sz w:val="32"/>
          <w:lang w:val="en-US" w:eastAsia="zh-CN"/>
        </w:rPr>
        <w:t>（三）积极推动研究生教育国际化，促进开放办学</w:t>
      </w:r>
      <w:bookmarkEnd w:id="15"/>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启动2023年教育部中外导师联合培养研究生专项招生计划，其中硕士20人，博士3人；开展澳门科技大学研究生推荐计划，成功推荐4名学生入读；启动了亚洲校园项目框架下的短期师生互派交流项目，选派公共卫生学院一名研究生赴日本大阪大学进行为期三个月的研修学习。继续与莫斯科国立第一医科大学、大阪滋庆学园分别连续举办中俄青年学者论坛、中日健康学术研讨会，搭建了与文化、学术交流的桥梁。</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 2023年学校成为“一带一路”中医药发展联盟创始单位，与各联盟单位共同协作，推动“一带一路”国家及地区中医药产学研发展，培养高素质中医药人才，促进中医药的现代化发展和国际化合作。第三年承办教育部“海上丝绸之路国际产学研用会议”，推动学校药学、中西医结合、公共卫生等专业领域的研究生联合培养和国际产学研用合作，招收国际产学研用会议框架下的中外导师联合培养专项研究生，完成中外双导师对接工作，联合培养工作有序进行。学校开设多场国际学术讲座，提升了学校青年教师和研究生的国际视野、专业技能和学术水平，也提升了学校的国际知名度。</w:t>
      </w:r>
    </w:p>
    <w:p>
      <w:pPr>
        <w:pStyle w:val="3"/>
        <w:rPr>
          <w:rFonts w:hint="eastAsia" w:ascii="仿宋" w:hAnsi="仿宋" w:eastAsia="仿宋" w:cs="仿宋"/>
          <w:sz w:val="32"/>
          <w:lang w:val="en-US" w:eastAsia="zh-CN"/>
        </w:rPr>
      </w:pPr>
      <w:bookmarkStart w:id="16" w:name="_Toc618"/>
      <w:r>
        <w:rPr>
          <w:rFonts w:hint="eastAsia" w:ascii="仿宋" w:hAnsi="仿宋" w:eastAsia="仿宋" w:cs="仿宋"/>
          <w:sz w:val="32"/>
          <w:lang w:val="en-US" w:eastAsia="zh-CN"/>
        </w:rPr>
        <w:t>（四）强化导师立德树人职责，主体责任逐步落实</w:t>
      </w:r>
      <w:bookmarkEnd w:id="16"/>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认真贯彻实施“导师首要责任制”，把立德树人作为研究生导师遴选的必要条件，把研究生思想政治教育作为研究生导师考核的重要内容，推动导师与研究生导学关系的和谐发展。在导师选拔上，实行招生资格年度审核制度，根据年度招生需要，综合考虑学科、师德、学术、科研和研究生培养质量等因素，结合导师考核成绩，确定导师年度资格招生，打破导师资格终身制，实现了导师资格向导师岗位转变。2023年审核导师年度招生资格500余人次，共365名老师获得本年度研究生招生资格。</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 通过举办导师培训系列讲座，聘请多位知名专家从师德、学术道德、学风建设科研和研究生的培养等方面对导师进行综合培训。强化“传帮带”制度，以导师组的形式，通过经验丰富的导师带动新导师，传授经验，帮助解决问题和困难，使新导师快速成长。2023年全年以线上线下相结合的形式，举办讲座、培训班及专题学习班等20余场，约600人次参加。</w:t>
      </w:r>
    </w:p>
    <w:p>
      <w:pPr>
        <w:pStyle w:val="3"/>
        <w:rPr>
          <w:rFonts w:hint="eastAsia" w:ascii="仿宋" w:hAnsi="仿宋" w:eastAsia="仿宋" w:cs="仿宋"/>
          <w:sz w:val="32"/>
          <w:lang w:val="en-US" w:eastAsia="zh-CN"/>
        </w:rPr>
      </w:pPr>
      <w:bookmarkStart w:id="17" w:name="_Toc32339"/>
      <w:r>
        <w:rPr>
          <w:rFonts w:hint="eastAsia" w:ascii="仿宋" w:hAnsi="仿宋" w:eastAsia="仿宋" w:cs="仿宋"/>
          <w:sz w:val="32"/>
          <w:lang w:val="en-US" w:eastAsia="zh-CN"/>
        </w:rPr>
        <w:t>（五）以赛促学以赛促研，提升研究生综合素养</w:t>
      </w:r>
      <w:bookmarkEnd w:id="17"/>
    </w:p>
    <w:p>
      <w:pPr>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打造研究生学术交流活动育人平台，举办“研途有术，硕果成报” 学术成果交流壁报展、“研究生学术之星”学术论坛和研究生联培基地建设研讨会等系列研究生学术科技节活动，浓厚学术氛围，拓宽研究生学术视野。</w:t>
      </w:r>
      <w:r>
        <w:rPr>
          <w:rFonts w:hint="eastAsia" w:ascii="仿宋" w:hAnsi="仿宋" w:eastAsia="仿宋" w:cs="仿宋"/>
          <w:kern w:val="0"/>
          <w:sz w:val="32"/>
          <w:szCs w:val="32"/>
        </w:rPr>
        <w:t>评选出2023年研究生十名“学术之星”，展现我校研究生的良好学术素质，树立先进典型，发挥榜样作用。组织参加“第三届全国药学研究生学术研讨会”，获得优秀报告奖5个、优秀壁报奖4个、优秀组织单位奖的佳绩。参加“国际药学研</w:t>
      </w:r>
      <w:r>
        <w:rPr>
          <w:rFonts w:hint="eastAsia" w:ascii="Times New Roman" w:hAnsi="Times New Roman" w:eastAsia="仿宋"/>
          <w:sz w:val="32"/>
          <w:szCs w:val="32"/>
        </w:rPr>
        <w:t>究生学术论坛”，获优秀报告奖3个、优秀摘要奖7个、优秀墙报奖2个和优秀口头报告奖1个。</w:t>
      </w:r>
    </w:p>
    <w:p>
      <w:pPr>
        <w:pStyle w:val="3"/>
        <w:rPr>
          <w:rFonts w:hint="eastAsia" w:ascii="仿宋" w:hAnsi="仿宋" w:eastAsia="仿宋" w:cs="仿宋"/>
          <w:sz w:val="32"/>
          <w:lang w:val="en-US" w:eastAsia="zh-CN"/>
        </w:rPr>
      </w:pPr>
      <w:bookmarkStart w:id="18" w:name="_Toc17245"/>
      <w:r>
        <w:rPr>
          <w:rFonts w:hint="eastAsia" w:ascii="仿宋" w:hAnsi="仿宋" w:eastAsia="仿宋" w:cs="仿宋"/>
          <w:sz w:val="32"/>
          <w:lang w:val="en-US" w:eastAsia="zh-CN"/>
        </w:rPr>
        <w:t>（六）健全评价体系，强化质量监督</w:t>
      </w:r>
      <w:bookmarkEnd w:id="18"/>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做好硕士学位论文抽检工作。2011年起，实行学术不端行为检测制度和学位论文双盲送检制度，盲审年均通过率为98.79%，双优率逐年上升。2022年度全省硕士学位论文抽检中，我校硕士学位论文优秀率全省排名并列第一，并且全部合格。同时，做好抽检结果的反馈、使用和整改工作，将学位论文抽检结果与研究生招生计划分配、导师资格等挂钩，引导培养单位和导师进一步重视学位论文质量，加强论文过程管理。</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 建立学位与研究生教育质量报告制度，接受社会监督。2021年起连续发布《广东药科大学研究生教育质量报告》和各学位点状态信息, 全面公开研究生教育质量状况和各学位点建设情况，主动接受社会监督，引导培养单位加强质量建设。</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 xml:space="preserve">. </w:t>
      </w:r>
      <w:r>
        <w:rPr>
          <w:rFonts w:hint="eastAsia" w:ascii="Times New Roman" w:hAnsi="Times New Roman" w:eastAsia="仿宋" w:cs="Times New Roman"/>
          <w:sz w:val="32"/>
          <w:szCs w:val="32"/>
        </w:rPr>
        <w:t>开展学位授权点评估工作，完善学位授权点质量保障体系。制定评估工作方案，统筹推进相关学院做好迎接教育部组织专项评估工作，</w:t>
      </w:r>
      <w:r>
        <w:rPr>
          <w:rFonts w:hint="eastAsia" w:ascii="仿宋" w:hAnsi="仿宋" w:eastAsia="仿宋" w:cs="仿宋"/>
          <w:kern w:val="0"/>
          <w:sz w:val="32"/>
          <w:szCs w:val="32"/>
        </w:rPr>
        <w:t>生物工程、生物与医药2个学位授权点均全票通过专项核验，意见为“继续授权”。</w:t>
      </w:r>
      <w:r>
        <w:rPr>
          <w:rFonts w:hint="eastAsia" w:ascii="Times New Roman" w:hAnsi="Times New Roman" w:eastAsia="仿宋" w:cs="Times New Roman"/>
          <w:sz w:val="32"/>
          <w:szCs w:val="32"/>
        </w:rPr>
        <w:t>稳步推进2020—2025年学位授权点周期评估，完成学位授权点基本状态信息数据的采集、监测、分析工作，督促各学院加强对学位授予自评工作的指导。</w:t>
      </w:r>
    </w:p>
    <w:p>
      <w:pPr>
        <w:pStyle w:val="2"/>
        <w:ind w:firstLine="643" w:firstLineChars="200"/>
        <w:rPr>
          <w:rFonts w:ascii="仿宋" w:hAnsi="仿宋" w:eastAsia="仿宋" w:cs="仿宋"/>
          <w:sz w:val="32"/>
          <w:szCs w:val="32"/>
        </w:rPr>
      </w:pPr>
      <w:bookmarkStart w:id="19" w:name="_Toc29729"/>
      <w:r>
        <w:rPr>
          <w:rFonts w:hint="eastAsia" w:ascii="仿宋" w:hAnsi="仿宋" w:eastAsia="仿宋" w:cs="仿宋"/>
          <w:sz w:val="32"/>
          <w:szCs w:val="32"/>
        </w:rPr>
        <w:t>四、教育质量评估与分析</w:t>
      </w:r>
      <w:bookmarkEnd w:id="19"/>
    </w:p>
    <w:p>
      <w:pPr>
        <w:pStyle w:val="3"/>
        <w:rPr>
          <w:rFonts w:ascii="仿宋" w:hAnsi="仿宋" w:eastAsia="仿宋" w:cs="仿宋"/>
          <w:sz w:val="32"/>
        </w:rPr>
      </w:pPr>
      <w:bookmarkStart w:id="20" w:name="_Toc9120"/>
      <w:r>
        <w:rPr>
          <w:rFonts w:hint="eastAsia" w:ascii="仿宋" w:hAnsi="仿宋" w:eastAsia="仿宋" w:cs="仿宋"/>
          <w:sz w:val="32"/>
        </w:rPr>
        <w:t>（一）质量保障体系</w:t>
      </w:r>
      <w:bookmarkEnd w:id="20"/>
    </w:p>
    <w:p>
      <w:pPr>
        <w:adjustRightInd w:val="0"/>
        <w:snapToGrid w:val="0"/>
        <w:spacing w:line="360" w:lineRule="auto"/>
        <w:ind w:firstLine="640"/>
        <w:rPr>
          <w:rFonts w:ascii="Times New Roman" w:hAnsi="Times New Roman" w:eastAsia="仿宋" w:cs="Times New Roman"/>
          <w:sz w:val="32"/>
          <w:szCs w:val="32"/>
        </w:rPr>
      </w:pPr>
      <w:r>
        <w:rPr>
          <w:rFonts w:hint="eastAsia" w:ascii="仿宋" w:hAnsi="仿宋" w:eastAsia="仿宋" w:cs="仿宋"/>
          <w:bCs/>
          <w:sz w:val="32"/>
          <w:szCs w:val="32"/>
        </w:rPr>
        <w:t>学校结合实际进一步完善学校硕士学位论文匿名评阅工作办法，保证学位论文评阅的客观公正，树立良好的学术学风，为提高学校研究生培养质量和学位授予质量提供坚实的保障。</w:t>
      </w:r>
      <w:r>
        <w:rPr>
          <w:rFonts w:hint="eastAsia" w:ascii="Times New Roman" w:hAnsi="Times New Roman" w:eastAsia="仿宋" w:cs="Times New Roman"/>
          <w:sz w:val="32"/>
          <w:szCs w:val="32"/>
        </w:rPr>
        <w:t>建立</w:t>
      </w:r>
      <w:r>
        <w:rPr>
          <w:rFonts w:ascii="Times New Roman" w:hAnsi="Times New Roman" w:eastAsia="仿宋" w:cs="Times New Roman"/>
          <w:sz w:val="32"/>
          <w:szCs w:val="32"/>
        </w:rPr>
        <w:t>第三方权威机构</w:t>
      </w:r>
      <w:r>
        <w:rPr>
          <w:rFonts w:hint="eastAsia" w:ascii="Times New Roman" w:hAnsi="Times New Roman" w:eastAsia="仿宋" w:cs="Times New Roman"/>
          <w:sz w:val="32"/>
          <w:szCs w:val="32"/>
        </w:rPr>
        <w:t>进行</w:t>
      </w:r>
      <w:r>
        <w:rPr>
          <w:rFonts w:ascii="Times New Roman" w:hAnsi="Times New Roman" w:eastAsia="仿宋" w:cs="Times New Roman"/>
          <w:kern w:val="0"/>
          <w:sz w:val="32"/>
          <w:szCs w:val="32"/>
        </w:rPr>
        <w:t>学术不端行为检测和</w:t>
      </w:r>
      <w:r>
        <w:rPr>
          <w:rFonts w:ascii="Times New Roman" w:hAnsi="Times New Roman" w:eastAsia="仿宋" w:cs="Times New Roman"/>
          <w:sz w:val="32"/>
          <w:szCs w:val="32"/>
        </w:rPr>
        <w:t>100%盲审</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制度，加强学位论文质量全过程管理，强化学位论文查重、统计学检测、原始数据审核</w:t>
      </w:r>
      <w:r>
        <w:rPr>
          <w:rFonts w:hint="eastAsia" w:ascii="Times New Roman" w:hAnsi="Times New Roman" w:eastAsia="仿宋" w:cs="Times New Roman"/>
          <w:sz w:val="32"/>
          <w:szCs w:val="32"/>
        </w:rPr>
        <w:t>以及</w:t>
      </w:r>
      <w:r>
        <w:rPr>
          <w:rFonts w:ascii="Times New Roman" w:hAnsi="Times New Roman" w:eastAsia="仿宋" w:cs="Times New Roman"/>
          <w:sz w:val="32"/>
          <w:szCs w:val="32"/>
        </w:rPr>
        <w:t>双盲评审等结果运用，</w:t>
      </w:r>
      <w:r>
        <w:rPr>
          <w:rFonts w:hint="eastAsia" w:ascii="Times New Roman" w:hAnsi="Times New Roman" w:eastAsia="仿宋" w:cs="Times New Roman"/>
          <w:sz w:val="32"/>
          <w:szCs w:val="32"/>
        </w:rPr>
        <w:t>保障</w:t>
      </w:r>
      <w:r>
        <w:rPr>
          <w:rFonts w:ascii="Times New Roman" w:hAnsi="Times New Roman" w:eastAsia="仿宋" w:cs="Times New Roman"/>
          <w:sz w:val="32"/>
          <w:szCs w:val="32"/>
        </w:rPr>
        <w:t>研究生</w:t>
      </w:r>
      <w:r>
        <w:rPr>
          <w:rFonts w:hint="eastAsia" w:ascii="Times New Roman" w:hAnsi="Times New Roman" w:eastAsia="仿宋" w:cs="Times New Roman"/>
          <w:sz w:val="32"/>
          <w:szCs w:val="32"/>
        </w:rPr>
        <w:t>培养质量</w:t>
      </w:r>
      <w:r>
        <w:rPr>
          <w:rFonts w:ascii="Times New Roman" w:hAnsi="Times New Roman" w:eastAsia="仿宋" w:cs="Times New Roman"/>
          <w:sz w:val="32"/>
          <w:szCs w:val="32"/>
        </w:rPr>
        <w:t>。</w:t>
      </w:r>
    </w:p>
    <w:p>
      <w:pPr>
        <w:pStyle w:val="3"/>
        <w:rPr>
          <w:rFonts w:ascii="仿宋" w:hAnsi="仿宋" w:eastAsia="仿宋" w:cs="仿宋"/>
          <w:sz w:val="32"/>
        </w:rPr>
      </w:pPr>
      <w:bookmarkStart w:id="21" w:name="_Toc19311"/>
      <w:r>
        <w:rPr>
          <w:rFonts w:hint="eastAsia" w:ascii="仿宋" w:hAnsi="仿宋" w:eastAsia="仿宋" w:cs="仿宋"/>
          <w:sz w:val="32"/>
        </w:rPr>
        <w:t>（二）学位论文质量</w:t>
      </w:r>
      <w:bookmarkEnd w:id="21"/>
    </w:p>
    <w:p>
      <w:pPr>
        <w:adjustRightInd w:val="0"/>
        <w:snapToGrid w:val="0"/>
        <w:spacing w:line="360" w:lineRule="auto"/>
        <w:ind w:firstLine="640"/>
        <w:rPr>
          <w:rFonts w:hint="eastAsia" w:ascii="仿宋" w:hAnsi="仿宋" w:eastAsia="仿宋" w:cs="仿宋"/>
          <w:kern w:val="0"/>
          <w:sz w:val="32"/>
          <w:szCs w:val="32"/>
        </w:rPr>
      </w:pPr>
      <w:r>
        <w:rPr>
          <w:rFonts w:hint="eastAsia" w:ascii="仿宋" w:hAnsi="仿宋" w:eastAsia="仿宋" w:cs="仿宋"/>
          <w:bCs/>
          <w:sz w:val="32"/>
          <w:szCs w:val="32"/>
        </w:rPr>
        <w:t>学位论文抽检制度在保障和提升研究生培养质量和学位授予质量方面发挥了重要作用，是确保研究生培养质量和成效的重要手段。2022年省学位办反馈的被抽检硕</w:t>
      </w:r>
      <w:r>
        <w:rPr>
          <w:rFonts w:ascii="Times New Roman" w:hAnsi="Times New Roman" w:eastAsia="仿宋"/>
          <w:sz w:val="32"/>
          <w:szCs w:val="32"/>
        </w:rPr>
        <w:t>士学位论文全部合格，论文优秀率</w:t>
      </w:r>
      <w:r>
        <w:rPr>
          <w:rFonts w:hint="eastAsia" w:ascii="Times New Roman" w:hAnsi="Times New Roman" w:eastAsia="仿宋"/>
          <w:sz w:val="32"/>
          <w:szCs w:val="32"/>
        </w:rPr>
        <w:t>3</w:t>
      </w:r>
      <w:r>
        <w:rPr>
          <w:rFonts w:ascii="Times New Roman" w:hAnsi="Times New Roman" w:eastAsia="仿宋"/>
          <w:sz w:val="32"/>
          <w:szCs w:val="32"/>
        </w:rPr>
        <w:t>3.33%，</w:t>
      </w:r>
      <w:r>
        <w:rPr>
          <w:rFonts w:hint="eastAsia" w:ascii="Times New Roman" w:hAnsi="Times New Roman" w:eastAsia="仿宋"/>
          <w:sz w:val="32"/>
          <w:szCs w:val="32"/>
        </w:rPr>
        <w:t>在</w:t>
      </w:r>
      <w:r>
        <w:rPr>
          <w:rFonts w:ascii="Times New Roman" w:hAnsi="Times New Roman" w:eastAsia="仿宋"/>
          <w:sz w:val="32"/>
          <w:szCs w:val="32"/>
        </w:rPr>
        <w:t>全省</w:t>
      </w:r>
      <w:r>
        <w:rPr>
          <w:rFonts w:hint="eastAsia" w:ascii="Times New Roman" w:hAnsi="Times New Roman" w:eastAsia="仿宋"/>
          <w:sz w:val="32"/>
          <w:szCs w:val="32"/>
        </w:rPr>
        <w:t>2</w:t>
      </w:r>
      <w:r>
        <w:rPr>
          <w:rFonts w:ascii="Times New Roman" w:hAnsi="Times New Roman" w:eastAsia="仿宋"/>
          <w:sz w:val="32"/>
          <w:szCs w:val="32"/>
        </w:rPr>
        <w:t>9</w:t>
      </w:r>
      <w:r>
        <w:rPr>
          <w:rFonts w:hint="eastAsia" w:ascii="Times New Roman" w:hAnsi="Times New Roman" w:eastAsia="仿宋"/>
          <w:sz w:val="32"/>
          <w:szCs w:val="32"/>
        </w:rPr>
        <w:t>所被抽评单位</w:t>
      </w:r>
      <w:r>
        <w:rPr>
          <w:rFonts w:hint="eastAsia" w:ascii="仿宋" w:hAnsi="仿宋" w:eastAsia="仿宋" w:cs="仿宋"/>
          <w:kern w:val="0"/>
          <w:sz w:val="32"/>
          <w:szCs w:val="32"/>
        </w:rPr>
        <w:t>中位居第一。至此，我校在省学位委员会组织硕士毕业论文抽检中，连续9年合格率100%，优良率不断攀升。</w:t>
      </w:r>
    </w:p>
    <w:p>
      <w:pPr>
        <w:adjustRightInd w:val="0"/>
        <w:snapToGrid w:val="0"/>
        <w:spacing w:line="360" w:lineRule="auto"/>
        <w:ind w:firstLine="640"/>
        <w:rPr>
          <w:rFonts w:ascii="仿宋" w:hAnsi="仿宋" w:eastAsia="仿宋" w:cs="仿宋"/>
          <w:sz w:val="32"/>
          <w:szCs w:val="32"/>
        </w:rPr>
      </w:pPr>
      <w:r>
        <w:rPr>
          <w:rFonts w:hint="eastAsia" w:ascii="仿宋" w:hAnsi="仿宋" w:eastAsia="仿宋" w:cs="仿宋"/>
          <w:kern w:val="0"/>
          <w:sz w:val="32"/>
          <w:szCs w:val="32"/>
        </w:rPr>
        <w:t>2022年，学校共评选出25篇校级优秀硕士学位论文。</w:t>
      </w:r>
      <w:r>
        <w:rPr>
          <w:rFonts w:hint="eastAsia" w:ascii="仿宋" w:hAnsi="仿宋" w:eastAsia="仿宋" w:cs="仿宋"/>
          <w:sz w:val="32"/>
          <w:szCs w:val="32"/>
        </w:rPr>
        <w:t>以优秀硕士学位论文评选为引导，完善激励体系和机制建设。同时，结合优秀硕士学位论文评选，采取有效措施，加大对各培养单位、导师和研究生学位论文的管理力度，不断提高我校研究生创新能力和培养质量。</w:t>
      </w:r>
    </w:p>
    <w:p>
      <w:pPr>
        <w:pStyle w:val="2"/>
        <w:ind w:firstLine="643" w:firstLineChars="200"/>
        <w:rPr>
          <w:rFonts w:ascii="仿宋" w:hAnsi="仿宋" w:eastAsia="仿宋" w:cs="仿宋"/>
          <w:sz w:val="32"/>
          <w:szCs w:val="32"/>
        </w:rPr>
      </w:pPr>
      <w:bookmarkStart w:id="22" w:name="_Toc32264"/>
      <w:r>
        <w:rPr>
          <w:rFonts w:hint="eastAsia" w:ascii="仿宋" w:hAnsi="仿宋" w:eastAsia="仿宋" w:cs="仿宋"/>
          <w:sz w:val="32"/>
          <w:szCs w:val="32"/>
        </w:rPr>
        <w:t>五、改进措施</w:t>
      </w:r>
      <w:bookmarkEnd w:id="22"/>
    </w:p>
    <w:p>
      <w:pPr>
        <w:pStyle w:val="3"/>
        <w:rPr>
          <w:rFonts w:ascii="仿宋" w:hAnsi="仿宋" w:eastAsia="仿宋" w:cs="仿宋"/>
          <w:sz w:val="32"/>
        </w:rPr>
      </w:pPr>
      <w:bookmarkStart w:id="23" w:name="_Toc16737"/>
      <w:r>
        <w:rPr>
          <w:rFonts w:hint="eastAsia" w:ascii="仿宋" w:hAnsi="仿宋" w:eastAsia="仿宋" w:cs="仿宋"/>
          <w:sz w:val="32"/>
        </w:rPr>
        <w:t>（一）坚持立德树人，构建全过程全方位研究生思想政治教育体系</w:t>
      </w:r>
      <w:bookmarkEnd w:id="23"/>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全面加强党对研究生教育的领导，着力构建符合研究生教育规律的思想政治工作机制，把社会主义核心价值体系融入研究生培养全过程。加强政治引领，强化价值引导，守好研究生教育意识形态阵地；加强学风建设和学术道德教育；促进心理健康，完善精准资助育人；配齐建强研究生辅导员和思政课教师，建设一批课程思政示范课程。</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落实研究生导师立德树人职责，发挥导师言传身教作用。强化导师是研究生培养第一责任人责任，细化导师岗位职责内容，多渠道评价导师履职责情况，评优评先，发挥好示范引领作用；推进新任导师培训制度化，定期组织开展研究生导师培训活动，建立校、院两级导师培训常态化机制。</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3.加强研究生党建工作，发挥党建育人功能。进一步提高研究生党员党性修养，上好研究生新生党员“第一课”；有针对性地开展研究生党建工作；创新研究生党组织设置，探索按学科和专业纵向设置党支部，探索把研究生党支部建在教研室、建在课题组。</w:t>
      </w:r>
    </w:p>
    <w:p>
      <w:pPr>
        <w:pStyle w:val="3"/>
        <w:rPr>
          <w:rFonts w:ascii="仿宋" w:hAnsi="仿宋" w:eastAsia="仿宋" w:cs="仿宋"/>
          <w:sz w:val="32"/>
        </w:rPr>
      </w:pPr>
      <w:bookmarkStart w:id="24" w:name="_Toc6750"/>
      <w:r>
        <w:rPr>
          <w:rFonts w:hint="eastAsia" w:ascii="仿宋" w:hAnsi="仿宋" w:eastAsia="仿宋" w:cs="仿宋"/>
          <w:sz w:val="32"/>
        </w:rPr>
        <w:t>（二）突出学科引领，强化学科专业体系建设，提升学位点培养质量</w:t>
      </w:r>
      <w:bookmarkEnd w:id="24"/>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优化学科结构，彰显特色优势。按照“药类创先、医类进位、工学调优、基础强化”的发展思路，加强学科协同和交叉融合，科学规划学位授权点规模与结构。</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 加强现有学位点提质建设。进一步强化科教融汇、产教融合，把人才培养成效作为检验学位点建设水平的根本标准。引导现有学位点拓宽发展外延，按照需求设置培养方向、培养目标、课程体系等，努力建设规模结构适应需要、培养模式各具特色、整体质量不断提升、创新人才不断涌现的研究生教育体系。</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3.加强研究生教育教学成果的立项培育，积极承办研究生学术创新论坛、研究生实践大赛等学术活动，以赛促学，以赛促研，提升研究生培养质量。</w:t>
      </w:r>
    </w:p>
    <w:p>
      <w:pPr>
        <w:pStyle w:val="3"/>
        <w:rPr>
          <w:rFonts w:ascii="仿宋" w:hAnsi="仿宋" w:eastAsia="仿宋" w:cs="仿宋"/>
          <w:sz w:val="32"/>
        </w:rPr>
      </w:pPr>
      <w:bookmarkStart w:id="25" w:name="_Toc18685"/>
      <w:r>
        <w:rPr>
          <w:rFonts w:hint="eastAsia" w:ascii="仿宋" w:hAnsi="仿宋" w:eastAsia="仿宋" w:cs="仿宋"/>
          <w:sz w:val="32"/>
        </w:rPr>
        <w:t>（三）创新机制体制，完善人才培养体系</w:t>
      </w:r>
      <w:bookmarkEnd w:id="25"/>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 深化培养模式改革，推进研究生分类培养。对于学术学位研究生：完善科教融汇育人机制，鼓励多学科交叉培养。对于专业学位研究生：构建校企“四同”培养模式，引导和鼓励行业企业全方位参与人才培养，推进专业学位与职业资格的有机衔接。</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 加强课程教材建设，提升教学质量。完善人才培养方案的审批机制，优化课程体系，规范核心课程设置；增强学术学位研究生课程内容前沿性、系统性，强化研究生的科学方法训练和学术素养培养；构建符合专业学位特点的课程体系，加强案例教学；持续资助研究生教育教学改革项目研究，培育研究生精品课程和专业学位案例课程，遴选优秀研究生教材。</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 xml:space="preserve">3. 加强培养过程管理，保证学位授予质量。强化培养关键环节质量监控，抓好研究生培养单位学位授权点专项合格评估和自我评估工作；制定课程教学质量监控办法，成立督导队伍，加强课程教学督导。 </w:t>
      </w:r>
    </w:p>
    <w:p>
      <w:pPr>
        <w:adjustRightInd w:val="0"/>
        <w:snapToGrid w:val="0"/>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4. 加强国际化培养，提升国际影响力。加强与重点领域国际学术组织和科研机构的互动，拓宽我校国际合作办学领域，加强留学研究生课程和培养模式改革，设立研究生教育国际化专项资金，用于支持研究生、导师开展国际交流、出国研修等学术活动。</w:t>
      </w: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74B12"/>
    <w:multiLevelType w:val="singleLevel"/>
    <w:tmpl w:val="BC074B12"/>
    <w:lvl w:ilvl="0" w:tentative="0">
      <w:start w:val="2"/>
      <w:numFmt w:val="decimal"/>
      <w:suff w:val="nothing"/>
      <w:lvlText w:val="（%1）"/>
      <w:lvlJc w:val="left"/>
    </w:lvl>
  </w:abstractNum>
  <w:abstractNum w:abstractNumId="1">
    <w:nsid w:val="5C56CBDA"/>
    <w:multiLevelType w:val="singleLevel"/>
    <w:tmpl w:val="5C56CBD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NjZiYzkzNzYxZTRhYWUxYmI0NWZiMGNhNzgxNTgifQ=="/>
  </w:docVars>
  <w:rsids>
    <w:rsidRoot w:val="00050D1C"/>
    <w:rsid w:val="000256B9"/>
    <w:rsid w:val="000319A4"/>
    <w:rsid w:val="00034905"/>
    <w:rsid w:val="00050D01"/>
    <w:rsid w:val="00050D1C"/>
    <w:rsid w:val="0005642C"/>
    <w:rsid w:val="000B4CDA"/>
    <w:rsid w:val="000F55B6"/>
    <w:rsid w:val="00120D97"/>
    <w:rsid w:val="001238E8"/>
    <w:rsid w:val="001306F1"/>
    <w:rsid w:val="00144BDF"/>
    <w:rsid w:val="00172259"/>
    <w:rsid w:val="00182345"/>
    <w:rsid w:val="0019047C"/>
    <w:rsid w:val="001A45AB"/>
    <w:rsid w:val="001B6C11"/>
    <w:rsid w:val="001C1621"/>
    <w:rsid w:val="001C3EE8"/>
    <w:rsid w:val="001D118B"/>
    <w:rsid w:val="001F437D"/>
    <w:rsid w:val="002010D6"/>
    <w:rsid w:val="002228FF"/>
    <w:rsid w:val="002350F1"/>
    <w:rsid w:val="002468F8"/>
    <w:rsid w:val="00254040"/>
    <w:rsid w:val="00263E9D"/>
    <w:rsid w:val="00267C01"/>
    <w:rsid w:val="00271F0F"/>
    <w:rsid w:val="0028376D"/>
    <w:rsid w:val="00294E41"/>
    <w:rsid w:val="002A1A3C"/>
    <w:rsid w:val="002B1BAE"/>
    <w:rsid w:val="002B338D"/>
    <w:rsid w:val="002C14FB"/>
    <w:rsid w:val="002F66D6"/>
    <w:rsid w:val="0031131A"/>
    <w:rsid w:val="00312C26"/>
    <w:rsid w:val="003437E4"/>
    <w:rsid w:val="00351F3A"/>
    <w:rsid w:val="003622C3"/>
    <w:rsid w:val="00381B0F"/>
    <w:rsid w:val="00384B33"/>
    <w:rsid w:val="003B7056"/>
    <w:rsid w:val="003C4EC1"/>
    <w:rsid w:val="003D4FE6"/>
    <w:rsid w:val="003E35D3"/>
    <w:rsid w:val="003E78DF"/>
    <w:rsid w:val="004056C1"/>
    <w:rsid w:val="00411565"/>
    <w:rsid w:val="00416C6F"/>
    <w:rsid w:val="0042326F"/>
    <w:rsid w:val="00424DBE"/>
    <w:rsid w:val="00424E3C"/>
    <w:rsid w:val="004361A0"/>
    <w:rsid w:val="00436259"/>
    <w:rsid w:val="00437F01"/>
    <w:rsid w:val="00440210"/>
    <w:rsid w:val="00440D0B"/>
    <w:rsid w:val="00446DEC"/>
    <w:rsid w:val="00447596"/>
    <w:rsid w:val="004717EA"/>
    <w:rsid w:val="00480882"/>
    <w:rsid w:val="00490B2A"/>
    <w:rsid w:val="004927ED"/>
    <w:rsid w:val="004A13E1"/>
    <w:rsid w:val="004A6F5C"/>
    <w:rsid w:val="004B72FF"/>
    <w:rsid w:val="004C37E1"/>
    <w:rsid w:val="004D18AD"/>
    <w:rsid w:val="0050120F"/>
    <w:rsid w:val="00513D1A"/>
    <w:rsid w:val="005379C2"/>
    <w:rsid w:val="00550C12"/>
    <w:rsid w:val="00561D6C"/>
    <w:rsid w:val="00587FA5"/>
    <w:rsid w:val="005D1E2F"/>
    <w:rsid w:val="005E33EE"/>
    <w:rsid w:val="005F3F4B"/>
    <w:rsid w:val="00602DF6"/>
    <w:rsid w:val="00606272"/>
    <w:rsid w:val="00656E07"/>
    <w:rsid w:val="00690648"/>
    <w:rsid w:val="006B322A"/>
    <w:rsid w:val="006C29A3"/>
    <w:rsid w:val="006D58BD"/>
    <w:rsid w:val="006D687F"/>
    <w:rsid w:val="006D6F14"/>
    <w:rsid w:val="006D7C3C"/>
    <w:rsid w:val="00710E72"/>
    <w:rsid w:val="00720923"/>
    <w:rsid w:val="00722B58"/>
    <w:rsid w:val="0072389F"/>
    <w:rsid w:val="0072544C"/>
    <w:rsid w:val="00730647"/>
    <w:rsid w:val="007412B9"/>
    <w:rsid w:val="007465C4"/>
    <w:rsid w:val="0075452E"/>
    <w:rsid w:val="00762991"/>
    <w:rsid w:val="007658FA"/>
    <w:rsid w:val="007A5F9B"/>
    <w:rsid w:val="007B77DA"/>
    <w:rsid w:val="007C5389"/>
    <w:rsid w:val="007C6135"/>
    <w:rsid w:val="007E0BA5"/>
    <w:rsid w:val="007E4251"/>
    <w:rsid w:val="007F66B3"/>
    <w:rsid w:val="00804D7B"/>
    <w:rsid w:val="00813B7A"/>
    <w:rsid w:val="00830A08"/>
    <w:rsid w:val="00843A0C"/>
    <w:rsid w:val="00853AD0"/>
    <w:rsid w:val="00853C5F"/>
    <w:rsid w:val="00871382"/>
    <w:rsid w:val="008834B8"/>
    <w:rsid w:val="00890778"/>
    <w:rsid w:val="008A482D"/>
    <w:rsid w:val="008B7F3D"/>
    <w:rsid w:val="008C2BB9"/>
    <w:rsid w:val="008C51BA"/>
    <w:rsid w:val="008C679D"/>
    <w:rsid w:val="008E375E"/>
    <w:rsid w:val="008F34CC"/>
    <w:rsid w:val="009131C8"/>
    <w:rsid w:val="00917D7B"/>
    <w:rsid w:val="00930055"/>
    <w:rsid w:val="00931D18"/>
    <w:rsid w:val="00932948"/>
    <w:rsid w:val="00936B3A"/>
    <w:rsid w:val="00947D73"/>
    <w:rsid w:val="009607B8"/>
    <w:rsid w:val="00987271"/>
    <w:rsid w:val="00987606"/>
    <w:rsid w:val="009938EE"/>
    <w:rsid w:val="00996AF2"/>
    <w:rsid w:val="009C0723"/>
    <w:rsid w:val="009E1CFE"/>
    <w:rsid w:val="009F2799"/>
    <w:rsid w:val="00A023FE"/>
    <w:rsid w:val="00A47059"/>
    <w:rsid w:val="00A66A50"/>
    <w:rsid w:val="00A846E3"/>
    <w:rsid w:val="00A91E3A"/>
    <w:rsid w:val="00A92546"/>
    <w:rsid w:val="00AA1CFE"/>
    <w:rsid w:val="00AB6AFD"/>
    <w:rsid w:val="00AC1040"/>
    <w:rsid w:val="00B41192"/>
    <w:rsid w:val="00B629DB"/>
    <w:rsid w:val="00B70CBB"/>
    <w:rsid w:val="00B90269"/>
    <w:rsid w:val="00B96D35"/>
    <w:rsid w:val="00BA55A4"/>
    <w:rsid w:val="00BC7FFB"/>
    <w:rsid w:val="00BD2144"/>
    <w:rsid w:val="00BD2A33"/>
    <w:rsid w:val="00BD3840"/>
    <w:rsid w:val="00BD4CE0"/>
    <w:rsid w:val="00BE2817"/>
    <w:rsid w:val="00BE3DF8"/>
    <w:rsid w:val="00BE544B"/>
    <w:rsid w:val="00C06025"/>
    <w:rsid w:val="00C12EF5"/>
    <w:rsid w:val="00C3310D"/>
    <w:rsid w:val="00C4782C"/>
    <w:rsid w:val="00C678E9"/>
    <w:rsid w:val="00CB73C2"/>
    <w:rsid w:val="00CD0E46"/>
    <w:rsid w:val="00CD1326"/>
    <w:rsid w:val="00CE1B31"/>
    <w:rsid w:val="00CF7E5F"/>
    <w:rsid w:val="00D12C89"/>
    <w:rsid w:val="00D30353"/>
    <w:rsid w:val="00D436E8"/>
    <w:rsid w:val="00D535C5"/>
    <w:rsid w:val="00D6213D"/>
    <w:rsid w:val="00D62B09"/>
    <w:rsid w:val="00D96A89"/>
    <w:rsid w:val="00DB48F9"/>
    <w:rsid w:val="00DB7833"/>
    <w:rsid w:val="00DC5EE0"/>
    <w:rsid w:val="00DE534E"/>
    <w:rsid w:val="00E143FD"/>
    <w:rsid w:val="00E171C9"/>
    <w:rsid w:val="00E247E9"/>
    <w:rsid w:val="00E25C56"/>
    <w:rsid w:val="00E37FCE"/>
    <w:rsid w:val="00E4308D"/>
    <w:rsid w:val="00EB2DCC"/>
    <w:rsid w:val="00EE1798"/>
    <w:rsid w:val="00EF15CD"/>
    <w:rsid w:val="00F63985"/>
    <w:rsid w:val="00F712CB"/>
    <w:rsid w:val="00F71AEA"/>
    <w:rsid w:val="00F73EBE"/>
    <w:rsid w:val="00F914B7"/>
    <w:rsid w:val="00F944A0"/>
    <w:rsid w:val="00FA6629"/>
    <w:rsid w:val="00FB5CD8"/>
    <w:rsid w:val="00FB7911"/>
    <w:rsid w:val="00FC0639"/>
    <w:rsid w:val="00FD0CC9"/>
    <w:rsid w:val="00FD702B"/>
    <w:rsid w:val="00FE06D1"/>
    <w:rsid w:val="00FE50EB"/>
    <w:rsid w:val="00FE6E88"/>
    <w:rsid w:val="00FF4F16"/>
    <w:rsid w:val="03D609D8"/>
    <w:rsid w:val="050E2686"/>
    <w:rsid w:val="148A09C2"/>
    <w:rsid w:val="36AD64CD"/>
    <w:rsid w:val="4C9E5354"/>
    <w:rsid w:val="4EB826D8"/>
    <w:rsid w:val="4EFC503D"/>
    <w:rsid w:val="68CA65BF"/>
    <w:rsid w:val="730D2075"/>
    <w:rsid w:val="75160B9B"/>
    <w:rsid w:val="7BA6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before="120" w:after="120"/>
      <w:ind w:firstLine="643"/>
      <w:outlineLvl w:val="1"/>
    </w:pPr>
    <w:rPr>
      <w:rFonts w:eastAsia="楷体" w:asciiTheme="majorHAnsi" w:hAnsiTheme="majorHAnsi" w:cstheme="majorBidi"/>
      <w:b/>
      <w:bCs/>
      <w:szCs w:val="32"/>
    </w:rPr>
  </w:style>
  <w:style w:type="paragraph" w:styleId="4">
    <w:name w:val="heading 3"/>
    <w:basedOn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22"/>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alloon Text"/>
    <w:basedOn w:val="1"/>
    <w:link w:val="23"/>
    <w:autoRedefine/>
    <w:semiHidden/>
    <w:unhideWhenUsed/>
    <w:qFormat/>
    <w:uiPriority w:val="99"/>
    <w:rPr>
      <w:sz w:val="18"/>
      <w:szCs w:val="18"/>
    </w:rPr>
  </w:style>
  <w:style w:type="paragraph" w:styleId="7">
    <w:name w:val="footer"/>
    <w:basedOn w:val="1"/>
    <w:link w:val="18"/>
    <w:autoRedefine/>
    <w:semiHidden/>
    <w:unhideWhenUsed/>
    <w:qFormat/>
    <w:uiPriority w:val="99"/>
    <w:pPr>
      <w:tabs>
        <w:tab w:val="center" w:pos="4153"/>
        <w:tab w:val="right" w:pos="8306"/>
      </w:tabs>
      <w:snapToGrid w:val="0"/>
      <w:jc w:val="left"/>
    </w:pPr>
    <w:rPr>
      <w:sz w:val="18"/>
      <w:szCs w:val="18"/>
    </w:rPr>
  </w:style>
  <w:style w:type="paragraph" w:styleId="8">
    <w:name w:val="header"/>
    <w:basedOn w:val="1"/>
    <w:link w:val="1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qFormat/>
    <w:uiPriority w:val="39"/>
    <w:pPr>
      <w:tabs>
        <w:tab w:val="right" w:leader="dot" w:pos="8296"/>
      </w:tabs>
    </w:pPr>
    <w:rPr>
      <w:rFonts w:eastAsia="黑体"/>
    </w:rPr>
  </w:style>
  <w:style w:type="paragraph" w:styleId="10">
    <w:name w:val="toc 2"/>
    <w:basedOn w:val="1"/>
    <w:next w:val="1"/>
    <w:unhideWhenUsed/>
    <w:qFormat/>
    <w:uiPriority w:val="39"/>
    <w:pPr>
      <w:tabs>
        <w:tab w:val="right" w:leader="dot" w:pos="8296"/>
      </w:tabs>
      <w:ind w:firstLine="640"/>
    </w:p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autoRedefine/>
    <w:qFormat/>
    <w:uiPriority w:val="22"/>
    <w:rPr>
      <w:b/>
      <w:bCs/>
    </w:rPr>
  </w:style>
  <w:style w:type="character" w:styleId="15">
    <w:name w:val="Emphasis"/>
    <w:basedOn w:val="13"/>
    <w:autoRedefine/>
    <w:qFormat/>
    <w:uiPriority w:val="20"/>
    <w:rPr>
      <w:i/>
      <w:iCs/>
    </w:rPr>
  </w:style>
  <w:style w:type="character" w:styleId="16">
    <w:name w:val="Hyperlink"/>
    <w:basedOn w:val="13"/>
    <w:autoRedefine/>
    <w:unhideWhenUsed/>
    <w:qFormat/>
    <w:uiPriority w:val="99"/>
    <w:rPr>
      <w:color w:val="0000FF" w:themeColor="hyperlink"/>
      <w:u w:val="single"/>
      <w14:textFill>
        <w14:solidFill>
          <w14:schemeClr w14:val="hlink"/>
        </w14:solidFill>
      </w14:textFill>
    </w:rPr>
  </w:style>
  <w:style w:type="character" w:customStyle="1" w:styleId="17">
    <w:name w:val="页眉 Char"/>
    <w:basedOn w:val="13"/>
    <w:link w:val="8"/>
    <w:autoRedefine/>
    <w:semiHidden/>
    <w:qFormat/>
    <w:uiPriority w:val="99"/>
    <w:rPr>
      <w:sz w:val="18"/>
      <w:szCs w:val="18"/>
    </w:rPr>
  </w:style>
  <w:style w:type="character" w:customStyle="1" w:styleId="18">
    <w:name w:val="页脚 Char"/>
    <w:basedOn w:val="13"/>
    <w:link w:val="7"/>
    <w:autoRedefine/>
    <w:semiHidden/>
    <w:qFormat/>
    <w:uiPriority w:val="99"/>
    <w:rPr>
      <w:sz w:val="18"/>
      <w:szCs w:val="18"/>
    </w:rPr>
  </w:style>
  <w:style w:type="character" w:customStyle="1" w:styleId="19">
    <w:name w:val="NormalCharacter"/>
    <w:autoRedefine/>
    <w:semiHidden/>
    <w:qFormat/>
    <w:uiPriority w:val="0"/>
  </w:style>
  <w:style w:type="character" w:customStyle="1" w:styleId="20">
    <w:name w:val="标题 3 Char"/>
    <w:basedOn w:val="13"/>
    <w:link w:val="4"/>
    <w:autoRedefine/>
    <w:qFormat/>
    <w:uiPriority w:val="9"/>
    <w:rPr>
      <w:rFonts w:ascii="宋体" w:hAnsi="宋体" w:eastAsia="宋体" w:cs="宋体"/>
      <w:b/>
      <w:bCs/>
      <w:kern w:val="0"/>
      <w:sz w:val="27"/>
      <w:szCs w:val="27"/>
    </w:rPr>
  </w:style>
  <w:style w:type="character" w:customStyle="1" w:styleId="21">
    <w:name w:val="content-right_8zs40"/>
    <w:basedOn w:val="13"/>
    <w:autoRedefine/>
    <w:qFormat/>
    <w:uiPriority w:val="0"/>
  </w:style>
  <w:style w:type="character" w:customStyle="1" w:styleId="22">
    <w:name w:val="纯文本 Char"/>
    <w:basedOn w:val="13"/>
    <w:link w:val="5"/>
    <w:autoRedefine/>
    <w:semiHidden/>
    <w:qFormat/>
    <w:uiPriority w:val="99"/>
    <w:rPr>
      <w:rFonts w:ascii="宋体" w:hAnsi="宋体" w:eastAsia="宋体" w:cs="宋体"/>
      <w:kern w:val="0"/>
      <w:sz w:val="24"/>
      <w:szCs w:val="24"/>
    </w:rPr>
  </w:style>
  <w:style w:type="character" w:customStyle="1" w:styleId="23">
    <w:name w:val="批注框文本 Char"/>
    <w:basedOn w:val="13"/>
    <w:link w:val="6"/>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导师年龄结构</a:t>
            </a:r>
          </a:p>
        </c:rich>
      </c:tx>
      <c:layout/>
      <c:overlay val="0"/>
      <c:spPr>
        <a:noFill/>
        <a:ln>
          <a:noFill/>
        </a:ln>
        <a:effectLst/>
      </c:spPr>
    </c:title>
    <c:autoTitleDeleted val="0"/>
    <c:plotArea>
      <c:layout/>
      <c:pieChart>
        <c:varyColors val="1"/>
        <c:ser>
          <c:idx val="0"/>
          <c:order val="0"/>
          <c:spPr>
            <a:ln w="15875">
              <a:solidFill>
                <a:schemeClr val="bg1"/>
              </a:solidFill>
            </a:ln>
            <a:effectLst>
              <a:outerShdw blurRad="50800" dist="38100" dir="2700000" algn="tl" rotWithShape="0">
                <a:prstClr val="black">
                  <a:alpha val="40000"/>
                </a:prstClr>
              </a:outerShdw>
            </a:effectLst>
            <a:sp3d contourW="15875"/>
          </c:spPr>
          <c:explosion val="0"/>
          <c:dPt>
            <c:idx val="0"/>
            <c:bubble3D val="0"/>
            <c:spPr>
              <a:gradFill>
                <a:gsLst>
                  <a:gs pos="0">
                    <a:schemeClr val="accent6">
                      <a:lumMod val="60000"/>
                      <a:lumOff val="40000"/>
                    </a:schemeClr>
                  </a:gs>
                  <a:gs pos="83000">
                    <a:schemeClr val="accent6"/>
                  </a:gs>
                </a:gsLst>
                <a:lin ang="2700000"/>
              </a:gradFill>
              <a:ln w="15875">
                <a:solidFill>
                  <a:schemeClr val="bg1"/>
                </a:solidFill>
              </a:ln>
              <a:effectLst>
                <a:outerShdw blurRad="50800" dist="38100" dir="2700000" algn="tl" rotWithShape="0">
                  <a:schemeClr val="accent6">
                    <a:lumMod val="50000"/>
                    <a:alpha val="40000"/>
                  </a:schemeClr>
                </a:outerShdw>
              </a:effectLst>
              <a:sp3d contourW="15875"/>
            </c:spPr>
          </c:dPt>
          <c:dPt>
            <c:idx val="1"/>
            <c:bubble3D val="0"/>
            <c:spPr>
              <a:gradFill>
                <a:gsLst>
                  <a:gs pos="0">
                    <a:schemeClr val="accent3">
                      <a:lumMod val="60000"/>
                      <a:lumOff val="40000"/>
                    </a:schemeClr>
                  </a:gs>
                  <a:gs pos="83000">
                    <a:schemeClr val="accent3"/>
                  </a:gs>
                </a:gsLst>
                <a:lin ang="2700000"/>
              </a:gradFill>
              <a:ln w="15875">
                <a:solidFill>
                  <a:schemeClr val="bg1"/>
                </a:solidFill>
              </a:ln>
              <a:effectLst>
                <a:outerShdw blurRad="50800" dist="38100" dir="2700000" algn="tl" rotWithShape="0">
                  <a:schemeClr val="accent2">
                    <a:lumMod val="50000"/>
                    <a:alpha val="40000"/>
                  </a:schemeClr>
                </a:outerShdw>
              </a:effectLst>
              <a:sp3d contourW="15875"/>
            </c:spPr>
          </c:dPt>
          <c:dPt>
            <c:idx val="2"/>
            <c:bubble3D val="0"/>
            <c:spPr>
              <a:gradFill>
                <a:gsLst>
                  <a:gs pos="0">
                    <a:schemeClr val="accent5">
                      <a:lumMod val="60000"/>
                      <a:lumOff val="40000"/>
                    </a:schemeClr>
                  </a:gs>
                  <a:gs pos="83000">
                    <a:schemeClr val="accent5"/>
                  </a:gs>
                </a:gsLst>
                <a:lin ang="2700000"/>
              </a:gradFill>
              <a:ln w="19050">
                <a:solidFill>
                  <a:schemeClr val="bg1"/>
                </a:solidFill>
              </a:ln>
              <a:effectLst>
                <a:outerShdw blurRad="50800" dist="38100" dir="2700000" algn="tl" rotWithShape="0">
                  <a:schemeClr val="accent5">
                    <a:lumMod val="50000"/>
                    <a:alpha val="40000"/>
                  </a:schemeClr>
                </a:outerShdw>
              </a:effectLst>
              <a:sp3d contourW="19050"/>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[工作簿1]Sheet1!$A$3:$A$5</c:f>
              <c:strCache>
                <c:ptCount val="3"/>
                <c:pt idx="0">
                  <c:v>45岁以下</c:v>
                </c:pt>
                <c:pt idx="1">
                  <c:v>45岁（含）至54岁</c:v>
                </c:pt>
                <c:pt idx="2">
                  <c:v>55岁及以上</c:v>
                </c:pt>
              </c:strCache>
            </c:strRef>
          </c:cat>
          <c:val>
            <c:numRef>
              <c:f>[工作簿1]Sheet1!$B$3:$B$5</c:f>
              <c:numCache>
                <c:formatCode>General</c:formatCode>
                <c:ptCount val="3"/>
                <c:pt idx="0">
                  <c:v>234</c:v>
                </c:pt>
                <c:pt idx="1">
                  <c:v>203</c:v>
                </c:pt>
                <c:pt idx="2">
                  <c:v>123</c:v>
                </c:pt>
              </c:numCache>
            </c:numRef>
          </c:val>
        </c:ser>
        <c:dLbls>
          <c:showLegendKey val="0"/>
          <c:showVal val="1"/>
          <c:showCatName val="0"/>
          <c:showSerName val="0"/>
          <c:showPercent val="0"/>
          <c:showBubbleSize val="0"/>
          <c:showLeaderLines val="1"/>
        </c:dLbls>
        <c:firstSliceAng val="36"/>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导师职称结构</a:t>
            </a:r>
          </a:p>
        </c:rich>
      </c:tx>
      <c:layout/>
      <c:overlay val="0"/>
      <c:spPr>
        <a:noFill/>
        <a:ln>
          <a:noFill/>
        </a:ln>
        <a:effectLst/>
      </c:spPr>
    </c:title>
    <c:autoTitleDeleted val="0"/>
    <c:plotArea>
      <c:layout/>
      <c:pieChart>
        <c:varyColors val="1"/>
        <c:ser>
          <c:idx val="0"/>
          <c:order val="0"/>
          <c:spPr>
            <a:ln w="15875">
              <a:solidFill>
                <a:schemeClr val="bg1"/>
              </a:solidFill>
            </a:ln>
            <a:effectLst>
              <a:outerShdw blurRad="50800" dist="38100" dir="2700000" algn="tl" rotWithShape="0">
                <a:prstClr val="black">
                  <a:alpha val="40000"/>
                </a:prstClr>
              </a:outerShdw>
            </a:effectLst>
            <a:sp3d contourW="15875"/>
          </c:spPr>
          <c:explosion val="0"/>
          <c:dPt>
            <c:idx val="0"/>
            <c:bubble3D val="0"/>
            <c:spPr>
              <a:gradFill>
                <a:gsLst>
                  <a:gs pos="0">
                    <a:schemeClr val="accent6">
                      <a:lumMod val="60000"/>
                      <a:lumOff val="40000"/>
                    </a:schemeClr>
                  </a:gs>
                  <a:gs pos="83000">
                    <a:schemeClr val="accent6"/>
                  </a:gs>
                </a:gsLst>
                <a:lin ang="2700000"/>
              </a:gradFill>
              <a:ln w="15875">
                <a:solidFill>
                  <a:schemeClr val="bg1"/>
                </a:solidFill>
              </a:ln>
              <a:effectLst>
                <a:outerShdw blurRad="50800" dist="38100" dir="2700000" algn="tl" rotWithShape="0">
                  <a:schemeClr val="accent6">
                    <a:lumMod val="50000"/>
                    <a:alpha val="40000"/>
                  </a:schemeClr>
                </a:outerShdw>
              </a:effectLst>
              <a:sp3d contourW="15875"/>
            </c:spPr>
          </c:dPt>
          <c:dPt>
            <c:idx val="1"/>
            <c:bubble3D val="0"/>
            <c:spPr>
              <a:gradFill>
                <a:gsLst>
                  <a:gs pos="0">
                    <a:schemeClr val="accent3">
                      <a:lumMod val="60000"/>
                      <a:lumOff val="40000"/>
                    </a:schemeClr>
                  </a:gs>
                  <a:gs pos="83000">
                    <a:schemeClr val="accent3"/>
                  </a:gs>
                </a:gsLst>
                <a:lin ang="2700000"/>
              </a:gradFill>
              <a:ln w="15875">
                <a:solidFill>
                  <a:schemeClr val="bg1"/>
                </a:solidFill>
              </a:ln>
              <a:effectLst>
                <a:outerShdw blurRad="50800" dist="38100" dir="2700000" algn="tl" rotWithShape="0">
                  <a:schemeClr val="accent2">
                    <a:lumMod val="50000"/>
                    <a:alpha val="40000"/>
                  </a:schemeClr>
                </a:outerShdw>
              </a:effectLst>
              <a:sp3d contourW="15875"/>
            </c:spPr>
          </c:dPt>
          <c:dPt>
            <c:idx val="2"/>
            <c:bubble3D val="0"/>
            <c:spPr>
              <a:gradFill>
                <a:gsLst>
                  <a:gs pos="0">
                    <a:schemeClr val="accent5">
                      <a:lumMod val="60000"/>
                      <a:lumOff val="40000"/>
                    </a:schemeClr>
                  </a:gs>
                  <a:gs pos="83000">
                    <a:schemeClr val="accent5"/>
                  </a:gs>
                </a:gsLst>
                <a:lin ang="2700000"/>
              </a:gradFill>
              <a:ln w="19050">
                <a:solidFill>
                  <a:schemeClr val="bg1"/>
                </a:solidFill>
              </a:ln>
              <a:effectLst>
                <a:outerShdw blurRad="50800" dist="38100" dir="2700000" algn="tl" rotWithShape="0">
                  <a:schemeClr val="accent5">
                    <a:lumMod val="50000"/>
                    <a:alpha val="40000"/>
                  </a:schemeClr>
                </a:outerShdw>
              </a:effectLst>
              <a:sp3d contourW="19050"/>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[工作簿1]Sheet1!$A$3:$A$5</c:f>
              <c:strCache>
                <c:ptCount val="3"/>
                <c:pt idx="0">
                  <c:v>正高级</c:v>
                </c:pt>
                <c:pt idx="1">
                  <c:v>副高级</c:v>
                </c:pt>
                <c:pt idx="2">
                  <c:v>中级</c:v>
                </c:pt>
              </c:strCache>
            </c:strRef>
          </c:cat>
          <c:val>
            <c:numRef>
              <c:f>[工作簿1]Sheet1!$B$3:$B$5</c:f>
              <c:numCache>
                <c:formatCode>General</c:formatCode>
                <c:ptCount val="3"/>
                <c:pt idx="0">
                  <c:v>259</c:v>
                </c:pt>
                <c:pt idx="1">
                  <c:v>234</c:v>
                </c:pt>
                <c:pt idx="2">
                  <c:v>67</c:v>
                </c:pt>
              </c:numCache>
            </c:numRef>
          </c:val>
        </c:ser>
        <c:dLbls>
          <c:showLegendKey val="0"/>
          <c:showVal val="1"/>
          <c:showCatName val="0"/>
          <c:showSerName val="0"/>
          <c:showPercent val="0"/>
          <c:showBubbleSize val="0"/>
          <c:showLeaderLines val="1"/>
        </c:dLbls>
        <c:firstSliceAng val="36"/>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21D61-E58C-44CC-8587-A3BF3EF18F0E}">
  <ds:schemaRefs/>
</ds:datastoreItem>
</file>

<file path=docProps/app.xml><?xml version="1.0" encoding="utf-8"?>
<Properties xmlns="http://schemas.openxmlformats.org/officeDocument/2006/extended-properties" xmlns:vt="http://schemas.openxmlformats.org/officeDocument/2006/docPropsVTypes">
  <Template>Normal</Template>
  <Pages>18</Pages>
  <Words>1259</Words>
  <Characters>7180</Characters>
  <Lines>59</Lines>
  <Paragraphs>16</Paragraphs>
  <TotalTime>0</TotalTime>
  <ScaleCrop>false</ScaleCrop>
  <LinksUpToDate>false</LinksUpToDate>
  <CharactersWithSpaces>8423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2023-06-14T05:35:00Z</dcterms:created>
  <dc:creator>infro</dc:creator>
  <cp:lastModifiedBy>璧玉</cp:lastModifiedBy>
  <cp:lastPrinted>2024-04-08T08:03:05Z</cp:lastPrinted>
  <dcterms:modified xsi:type="dcterms:W3CDTF">2024-04-08T08:03:34Z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D0C8CC7000E04A91B17D4007EFC22521_13</vt:lpwstr>
  </property>
</Properties>
</file>